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25BA2" w14:textId="519F26FA" w:rsidR="00182072" w:rsidRDefault="00182072" w:rsidP="00182072">
      <w:pPr>
        <w:spacing w:after="0"/>
      </w:pPr>
      <w:r>
        <w:rPr>
          <w:noProof/>
        </w:rPr>
        <w:drawing>
          <wp:anchor distT="0" distB="0" distL="114300" distR="114300" simplePos="0" relativeHeight="251658240" behindDoc="0" locked="0" layoutInCell="1" allowOverlap="1" wp14:anchorId="322C8D34" wp14:editId="116500DB">
            <wp:simplePos x="0" y="0"/>
            <wp:positionH relativeFrom="margin">
              <wp:align>center</wp:align>
            </wp:positionH>
            <wp:positionV relativeFrom="paragraph">
              <wp:posOffset>-294005</wp:posOffset>
            </wp:positionV>
            <wp:extent cx="7391400" cy="1900035"/>
            <wp:effectExtent l="0" t="0" r="0" b="5080"/>
            <wp:wrapNone/>
            <wp:docPr id="16606782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78236" name="Image 1660678236"/>
                    <pic:cNvPicPr/>
                  </pic:nvPicPr>
                  <pic:blipFill>
                    <a:blip r:embed="rId4" cstate="print">
                      <a:extLst>
                        <a:ext uri="{28A0092B-C50C-407E-A947-70E740481C1C}">
                          <a14:useLocalDpi xmlns:a14="http://schemas.microsoft.com/office/drawing/2010/main" val="0"/>
                        </a:ext>
                      </a:extLst>
                    </a:blip>
                    <a:stretch>
                      <a:fillRect/>
                    </a:stretch>
                  </pic:blipFill>
                  <pic:spPr>
                    <a:xfrm>
                      <a:off x="0" y="0"/>
                      <a:ext cx="7391400" cy="1900035"/>
                    </a:xfrm>
                    <a:prstGeom prst="rect">
                      <a:avLst/>
                    </a:prstGeom>
                  </pic:spPr>
                </pic:pic>
              </a:graphicData>
            </a:graphic>
            <wp14:sizeRelH relativeFrom="margin">
              <wp14:pctWidth>0</wp14:pctWidth>
            </wp14:sizeRelH>
            <wp14:sizeRelV relativeFrom="margin">
              <wp14:pctHeight>0</wp14:pctHeight>
            </wp14:sizeRelV>
          </wp:anchor>
        </w:drawing>
      </w:r>
    </w:p>
    <w:p w14:paraId="1B1FD1A1" w14:textId="05347002" w:rsidR="00182072" w:rsidRDefault="00182072" w:rsidP="00182072">
      <w:pPr>
        <w:spacing w:after="0"/>
      </w:pPr>
    </w:p>
    <w:p w14:paraId="26CAD9CD" w14:textId="0B30FCDD" w:rsidR="00182072" w:rsidRDefault="00182072" w:rsidP="00182072">
      <w:pPr>
        <w:spacing w:after="0"/>
      </w:pPr>
    </w:p>
    <w:p w14:paraId="0E015189" w14:textId="77777777" w:rsidR="00182072" w:rsidRDefault="00182072" w:rsidP="00182072">
      <w:pPr>
        <w:spacing w:after="0"/>
      </w:pPr>
    </w:p>
    <w:p w14:paraId="4A561ADA" w14:textId="77777777" w:rsidR="00182072" w:rsidRDefault="00182072" w:rsidP="00182072">
      <w:pPr>
        <w:spacing w:after="0"/>
      </w:pPr>
    </w:p>
    <w:p w14:paraId="59CF2A25" w14:textId="77777777" w:rsidR="00182072" w:rsidRDefault="00182072" w:rsidP="00182072">
      <w:pPr>
        <w:spacing w:after="0"/>
        <w:rPr>
          <w:rFonts w:ascii="Carlito" w:hAnsi="Carlito" w:cs="Carlito"/>
          <w:b/>
          <w:bCs/>
          <w:sz w:val="21"/>
          <w:szCs w:val="21"/>
        </w:rPr>
      </w:pPr>
    </w:p>
    <w:p w14:paraId="25B1B387" w14:textId="77777777" w:rsidR="00182072" w:rsidRDefault="00182072" w:rsidP="00182072">
      <w:pPr>
        <w:spacing w:after="0"/>
        <w:rPr>
          <w:rFonts w:ascii="Carlito" w:hAnsi="Carlito" w:cs="Carlito"/>
          <w:b/>
          <w:bCs/>
          <w:sz w:val="21"/>
          <w:szCs w:val="21"/>
        </w:rPr>
      </w:pPr>
    </w:p>
    <w:p w14:paraId="5DC6DB14" w14:textId="77777777" w:rsidR="00182072" w:rsidRDefault="00182072" w:rsidP="00182072">
      <w:pPr>
        <w:spacing w:after="0"/>
        <w:rPr>
          <w:rFonts w:ascii="Carlito" w:hAnsi="Carlito" w:cs="Carlito"/>
          <w:b/>
          <w:bCs/>
          <w:sz w:val="21"/>
          <w:szCs w:val="21"/>
        </w:rPr>
      </w:pPr>
    </w:p>
    <w:p w14:paraId="204400B3" w14:textId="77777777" w:rsidR="00182072" w:rsidRDefault="00182072" w:rsidP="00182072">
      <w:pPr>
        <w:spacing w:after="0"/>
        <w:rPr>
          <w:rFonts w:ascii="Carlito" w:hAnsi="Carlito" w:cs="Carlito"/>
          <w:b/>
          <w:bCs/>
          <w:sz w:val="21"/>
          <w:szCs w:val="21"/>
        </w:rPr>
      </w:pPr>
    </w:p>
    <w:p w14:paraId="4C9FE81F" w14:textId="77777777" w:rsidR="00182072" w:rsidRDefault="00182072" w:rsidP="00182072">
      <w:pPr>
        <w:spacing w:after="0"/>
        <w:rPr>
          <w:rFonts w:ascii="Carlito" w:hAnsi="Carlito" w:cs="Carlito"/>
          <w:b/>
          <w:bCs/>
          <w:sz w:val="21"/>
          <w:szCs w:val="21"/>
        </w:rPr>
      </w:pPr>
    </w:p>
    <w:p w14:paraId="0C8EF2E2" w14:textId="3D2B1E8C" w:rsidR="00182072" w:rsidRPr="00182072" w:rsidRDefault="00182072" w:rsidP="00182072">
      <w:pPr>
        <w:spacing w:after="0"/>
        <w:rPr>
          <w:rFonts w:ascii="Carlito" w:hAnsi="Carlito" w:cs="Carlito"/>
          <w:i/>
          <w:iCs/>
          <w:sz w:val="19"/>
          <w:szCs w:val="19"/>
        </w:rPr>
      </w:pPr>
      <w:r>
        <w:rPr>
          <w:rFonts w:ascii="Carlito" w:hAnsi="Carlito" w:cs="Carlito"/>
          <w:b/>
          <w:bCs/>
          <w:sz w:val="21"/>
          <w:szCs w:val="21"/>
        </w:rPr>
        <w:t>COMMUNIQUÉ</w:t>
      </w:r>
      <w:r>
        <w:rPr>
          <w:rFonts w:ascii="Carlito" w:hAnsi="Carlito" w:cs="Carlito"/>
          <w:b/>
          <w:bCs/>
        </w:rPr>
        <w:br/>
      </w:r>
      <w:r>
        <w:rPr>
          <w:rFonts w:ascii="Carlito" w:hAnsi="Carlito" w:cs="Carlito"/>
          <w:i/>
          <w:iCs/>
          <w:sz w:val="19"/>
          <w:szCs w:val="19"/>
        </w:rPr>
        <w:t>Pour diffusion immédiate</w:t>
      </w:r>
    </w:p>
    <w:p w14:paraId="5BAA64A1" w14:textId="2DD225D7" w:rsidR="00182072" w:rsidRPr="00182072" w:rsidRDefault="00182072" w:rsidP="00182072">
      <w:pPr>
        <w:spacing w:after="0"/>
        <w:rPr>
          <w:rFonts w:ascii="Carlito" w:hAnsi="Carlito" w:cs="Carlito"/>
          <w:sz w:val="21"/>
          <w:szCs w:val="21"/>
        </w:rPr>
      </w:pPr>
      <w:r>
        <w:rPr>
          <w:rFonts w:ascii="Carlito" w:hAnsi="Carlito" w:cs="Carlito"/>
          <w:b/>
          <w:bCs/>
          <w:noProof/>
          <w:sz w:val="21"/>
          <w:szCs w:val="21"/>
        </w:rPr>
        <mc:AlternateContent>
          <mc:Choice Requires="wps">
            <w:drawing>
              <wp:anchor distT="0" distB="0" distL="114300" distR="114300" simplePos="0" relativeHeight="251659264" behindDoc="0" locked="0" layoutInCell="1" allowOverlap="1" wp14:anchorId="19AA210F" wp14:editId="7202796D">
                <wp:simplePos x="0" y="0"/>
                <wp:positionH relativeFrom="margin">
                  <wp:align>left</wp:align>
                </wp:positionH>
                <wp:positionV relativeFrom="paragraph">
                  <wp:posOffset>69215</wp:posOffset>
                </wp:positionV>
                <wp:extent cx="7063740" cy="7620"/>
                <wp:effectExtent l="0" t="0" r="22860" b="30480"/>
                <wp:wrapNone/>
                <wp:docPr id="1475169947" name="Connecteur droit 2"/>
                <wp:cNvGraphicFramePr/>
                <a:graphic xmlns:a="http://schemas.openxmlformats.org/drawingml/2006/main">
                  <a:graphicData uri="http://schemas.microsoft.com/office/word/2010/wordprocessingShape">
                    <wps:wsp>
                      <wps:cNvCnPr/>
                      <wps:spPr>
                        <a:xfrm flipV="1">
                          <a:off x="0" y="0"/>
                          <a:ext cx="7063740" cy="7620"/>
                        </a:xfrm>
                        <a:prstGeom prst="line">
                          <a:avLst/>
                        </a:prstGeom>
                        <a:ln w="12700">
                          <a:solidFill>
                            <a:srgbClr val="003F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D1FFD0" id="Connecteur droit 2" o:spid="_x0000_s1026"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from="0,5.45pt" to="556.2pt,6.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E0hzzwEAAOwDAAAOAAAAZHJzL2Uyb0RvYy54bWysU8tu2zAQvBfoPxC815KVwioEyzkkcC5F G7RN7jS1tAjwBZK15L/vkpKVR9FDg1wIcXdndme42l6PWpET+CCtael6VVIChttOmmNLH37tP32h JERmOqasgZaeIdDr3ccP28E1UNneqg48QRITmsG1tI/RNUUReA+ahZV1YDAprNcs4tUfi86zAdm1 Kqqy3BSD9Z3zlkMIGL2dknSX+YUAHr8LESAS1VKcLebT5/OQzmK3Zc3RM9dLPo/B3jCFZtJg04Xq lkVGfnv5F5WW3NtgRVxxqwsrhOSQNaCadflKzc+eOcha0JzgFpvC+9Hyb6cbc+/RhsGFJrh7n1SM wmsilHSP+KZZF05KxmzbebENxkg4Butyc1V/Rnc55upNlV0tJpbE5nyId2A1SR8tVdIkUaxhp68h YmcsvZSksDJkwLZVXZa5LFglu71UKiWDPx5ulCcnlh60vNrXVXpDpHhWhjdlMPgkKX/Fs4KpwQ8Q RHY4+iQubxsstIxzMHE98yqD1QkmcIQFOI+W1vRfwLk+QSFv4v+AF0TubE1cwFoa6ydjXnaP42Vk MdVfHJh0JwsOtjvnx87W4Epl5+b1Tzv7/J7hTz/p7g8AAAD//wMAUEsDBBQABgAIAAAAIQBn5UgT 3gAAAAcBAAAPAAAAZHJzL2Rvd25yZXYueG1sTI/NTsNADITvSLzDykjc6CYRIJJmU1X8CIHKgdJK PW4TN4nIeqOs04a3xz3BzeOxZj7ni8l16ohDaD0ZiGcRKKTSVy3VBjZfLzcPoAJbqmznCQ38YIBF cXmR26zyJ/rE45prJSEUMmugYe4zrUPZoLNh5nsk8Q5+cJZFDrWuBnuScNfpJIrutbMtSUNje3xs sPxej87A3dNhx0v31qeb1fi+rTl93T5/GHN9NS3noBgn/juGM76gQyFMez9SFVRnQB5h2UYpqLMb x8ktqL1MSQy6yPV//uIXAAD//wMAUEsBAi0AFAAGAAgAAAAhALaDOJL+AAAA4QEAABMAAAAAAAAA AAAAAAAAAAAAAFtDb250ZW50X1R5cGVzXS54bWxQSwECLQAUAAYACAAAACEAOP0h/9YAAACUAQAA CwAAAAAAAAAAAAAAAAAvAQAAX3JlbHMvLnJlbHNQSwECLQAUAAYACAAAACEAuhNIc88BAADsAwAA DgAAAAAAAAAAAAAAAAAuAgAAZHJzL2Uyb0RvYy54bWxQSwECLQAUAAYACAAAACEAZ+VIE94AAAAH AQAADwAAAAAAAAAAAAAAAAApBAAAZHJzL2Rvd25yZXYueG1sUEsFBgAAAAAEAAQA8wAAADQFAAAA AA== " strokecolor="#003f72" strokeweight="1pt">
                <v:stroke joinstyle="miter"/>
                <w10:wrap anchorx="margin"/>
              </v:line>
            </w:pict>
          </mc:Fallback>
        </mc:AlternateContent>
      </w:r>
    </w:p>
    <w:p w14:paraId="171551C2" w14:textId="6CA7CF80" w:rsidR="004B0EAB" w:rsidRPr="00DC3361" w:rsidRDefault="00182072" w:rsidP="004B0EAB">
      <w:pPr>
        <w:autoSpaceDE w:val="0"/>
        <w:autoSpaceDN w:val="0"/>
        <w:adjustRightInd w:val="0"/>
        <w:spacing w:after="321" w:line="240" w:lineRule="auto"/>
        <w:rPr>
          <w:rFonts w:ascii="Carlito" w:hAnsi="Carlito" w:cs="Carlito"/>
          <w:b/>
          <w:bCs/>
          <w:color w:val="003F72"/>
          <w:kern w:val="0"/>
          <w:sz w:val="20"/>
          <w:szCs w:val="20"/>
        </w:rPr>
      </w:pPr>
      <w:r>
        <w:rPr>
          <w:rFonts w:ascii="Carlito" w:hAnsi="Carlito" w:cs="Carlito"/>
          <w:b/>
          <w:bCs/>
          <w:color w:val="003F72"/>
          <w:kern w:val="0"/>
          <w:sz w:val="30"/>
          <w:szCs w:val="30"/>
        </w:rPr>
        <w:t xml:space="preserve">HG Distribution célèbre 20 ans de passion, de </w:t>
      </w:r>
      <w:r w:rsidR="002A5197">
        <w:rPr>
          <w:rFonts w:ascii="Carlito" w:hAnsi="Carlito" w:cs="Carlito"/>
          <w:b/>
          <w:bCs/>
          <w:color w:val="003F72"/>
          <w:kern w:val="0"/>
          <w:sz w:val="30"/>
          <w:szCs w:val="30"/>
        </w:rPr>
        <w:t>rencontres</w:t>
      </w:r>
      <w:r>
        <w:rPr>
          <w:rFonts w:ascii="Carlito" w:hAnsi="Carlito" w:cs="Carlito"/>
          <w:b/>
          <w:bCs/>
          <w:color w:val="003F72"/>
          <w:kern w:val="0"/>
          <w:sz w:val="30"/>
          <w:szCs w:val="30"/>
        </w:rPr>
        <w:t xml:space="preserve"> et d’avenir</w:t>
      </w:r>
      <w:r>
        <w:rPr>
          <w:rFonts w:ascii="Carlito" w:hAnsi="Carlito" w:cs="Carlito"/>
          <w:b/>
          <w:bCs/>
          <w:color w:val="003F72"/>
          <w:kern w:val="0"/>
          <w:sz w:val="20"/>
          <w:szCs w:val="20"/>
        </w:rPr>
        <w:br/>
      </w:r>
      <w:r>
        <w:rPr>
          <w:rFonts w:ascii="Carlito" w:hAnsi="Carlito" w:cs="Carlito"/>
          <w:b/>
          <w:bCs/>
          <w:color w:val="003F72"/>
          <w:kern w:val="0"/>
          <w:sz w:val="30"/>
          <w:szCs w:val="30"/>
        </w:rPr>
        <w:br/>
      </w:r>
      <w:r>
        <w:rPr>
          <w:rFonts w:ascii="Carlito" w:hAnsi="Carlito" w:cs="Carlito"/>
          <w:i/>
          <w:iCs/>
          <w:kern w:val="0"/>
          <w:sz w:val="21"/>
          <w:szCs w:val="21"/>
        </w:rPr>
        <w:t>Le fondateur Henry Gagnon revient sur deux décennies d’entrepreneuriat, de croissance internationale et sur les gens derrière l’entreprise, tout en se tournant vers les 20 prochaines années.</w:t>
      </w:r>
      <w:r>
        <w:rPr>
          <w:rFonts w:ascii="Carlito" w:hAnsi="Carlito" w:cs="Carlito"/>
          <w:i/>
          <w:iCs/>
          <w:kern w:val="0"/>
          <w:sz w:val="21"/>
          <w:szCs w:val="21"/>
        </w:rPr>
        <w:br/>
      </w:r>
      <w:r>
        <w:rPr>
          <w:rFonts w:ascii="Carlito" w:hAnsi="Carlito" w:cs="Carlito"/>
          <w:i/>
          <w:iCs/>
          <w:kern w:val="0"/>
          <w:sz w:val="21"/>
          <w:szCs w:val="21"/>
        </w:rPr>
        <w:br/>
      </w:r>
      <w:r>
        <w:rPr>
          <w:rFonts w:ascii="Carlito" w:hAnsi="Carlito" w:cs="Carlito"/>
          <w:b/>
          <w:bCs/>
          <w:kern w:val="0"/>
          <w:sz w:val="21"/>
          <w:szCs w:val="21"/>
        </w:rPr>
        <w:t>Montréal, le 1er octobre</w:t>
      </w:r>
      <w:r>
        <w:rPr>
          <w:rFonts w:ascii="Carlito" w:hAnsi="Carlito" w:cs="Carlito"/>
          <w:kern w:val="0"/>
          <w:sz w:val="21"/>
          <w:szCs w:val="21"/>
        </w:rPr>
        <w:t xml:space="preserve"> - Vingt ans après avoir fondé HG Distribution, Henry Gagnon célèbre bien plus qu’une étape : les gens, les partenariats et les risques calculés qui ont transformé une idée entrepreneuriale en une entreprise canadienne de distribution de contenu bien établie, au rayonnement international. HG Distribution soulignera cet anniversaire avec toute son équipe et ses partenaires au MIPCOM 2026, à Cannes, et invite tout le monde à venir célébrer avec </w:t>
      </w:r>
      <w:r w:rsidR="002A5197">
        <w:rPr>
          <w:rFonts w:ascii="Carlito" w:hAnsi="Carlito" w:cs="Carlito"/>
          <w:kern w:val="0"/>
          <w:sz w:val="21"/>
          <w:szCs w:val="21"/>
        </w:rPr>
        <w:t>les membres de l’équipe</w:t>
      </w:r>
      <w:r>
        <w:rPr>
          <w:rFonts w:ascii="Carlito" w:hAnsi="Carlito" w:cs="Carlito"/>
          <w:kern w:val="0"/>
          <w:sz w:val="21"/>
          <w:szCs w:val="21"/>
        </w:rPr>
        <w:t xml:space="preserve"> au kiosque R8.E1 du Pavillon Canada.</w:t>
      </w:r>
    </w:p>
    <w:p w14:paraId="7B056B34" w14:textId="328A03DB" w:rsidR="004B0EAB" w:rsidRPr="004B0EAB" w:rsidRDefault="004B0EAB" w:rsidP="004B0EAB">
      <w:pPr>
        <w:autoSpaceDE w:val="0"/>
        <w:autoSpaceDN w:val="0"/>
        <w:adjustRightInd w:val="0"/>
        <w:spacing w:after="240" w:line="240" w:lineRule="auto"/>
        <w:jc w:val="both"/>
        <w:rPr>
          <w:rFonts w:ascii="Carlito" w:hAnsi="Carlito" w:cs="Carlito"/>
          <w:kern w:val="0"/>
          <w:sz w:val="21"/>
          <w:szCs w:val="21"/>
        </w:rPr>
      </w:pPr>
      <w:r>
        <w:rPr>
          <w:rFonts w:ascii="Carlito" w:hAnsi="Carlito" w:cs="Carlito"/>
          <w:b/>
          <w:bCs/>
          <w:kern w:val="0"/>
          <w:sz w:val="21"/>
          <w:szCs w:val="21"/>
        </w:rPr>
        <w:t>« Vingt ans, ce n’est pas une destination. Pour moi, c’est la preuve que nous avons su évoluer », affirme Henry Gagnon, fondateur de HG Distribution. « Le marché d’aujourd’hui est presque méconnaissable par rapport à celui dans lequel nous sommes entrés il y a 20 ans. Notre rôle n’a jamais été de résister à ce changement. C’est de le comprendre, de l’adopter et d’en faire une occasion à saisir. »</w:t>
      </w:r>
    </w:p>
    <w:p w14:paraId="1C4CB9D2" w14:textId="752AD2A2" w:rsidR="004B0EAB" w:rsidRPr="004B0EAB" w:rsidRDefault="004B0EAB" w:rsidP="004B0EAB">
      <w:pPr>
        <w:autoSpaceDE w:val="0"/>
        <w:autoSpaceDN w:val="0"/>
        <w:adjustRightInd w:val="0"/>
        <w:spacing w:after="298" w:line="240" w:lineRule="auto"/>
        <w:rPr>
          <w:rFonts w:ascii="Carlito" w:hAnsi="Carlito" w:cs="Carlito"/>
          <w:b/>
          <w:bCs/>
          <w:kern w:val="0"/>
          <w:sz w:val="23"/>
          <w:szCs w:val="23"/>
        </w:rPr>
      </w:pPr>
      <w:r>
        <w:rPr>
          <w:rFonts w:ascii="Carlito" w:hAnsi="Carlito" w:cs="Carlito"/>
          <w:b/>
          <w:bCs/>
          <w:kern w:val="0"/>
          <w:sz w:val="23"/>
          <w:szCs w:val="23"/>
        </w:rPr>
        <w:t>20 ans de passion</w:t>
      </w:r>
      <w:r>
        <w:rPr>
          <w:rFonts w:ascii="Carlito" w:hAnsi="Carlito" w:cs="Carlito"/>
          <w:b/>
          <w:bCs/>
          <w:kern w:val="0"/>
          <w:sz w:val="23"/>
          <w:szCs w:val="23"/>
        </w:rPr>
        <w:br/>
      </w:r>
      <w:r>
        <w:rPr>
          <w:rFonts w:ascii="Carlito" w:hAnsi="Carlito" w:cs="Carlito"/>
          <w:kern w:val="0"/>
          <w:sz w:val="21"/>
          <w:szCs w:val="21"/>
        </w:rPr>
        <w:t>Depuis sa création, HG Distribution a bâti son entreprise sur une philosophie simple : un contenu solide est important, mais des relations solides le sont tout autant. En deux décennies, l’entreprise a développé un réseau international de producteurs, de diffuseurs, de plateformes et de partenaires, tout en conservant l’agilité et l’approche personnalisée d’une entreprise indépendante. Sa croissance repose sur une identité distinctive, une expansion à l’international, des partenariats à long terme et les outils numériques.</w:t>
      </w:r>
    </w:p>
    <w:p w14:paraId="46816B1B" w14:textId="77777777" w:rsidR="004B0EAB" w:rsidRPr="004B0EAB" w:rsidRDefault="004B0EAB" w:rsidP="004B0EAB">
      <w:pPr>
        <w:autoSpaceDE w:val="0"/>
        <w:autoSpaceDN w:val="0"/>
        <w:adjustRightInd w:val="0"/>
        <w:spacing w:after="240" w:line="240" w:lineRule="auto"/>
        <w:jc w:val="both"/>
        <w:rPr>
          <w:rFonts w:ascii="Carlito" w:hAnsi="Carlito" w:cs="Carlito"/>
          <w:kern w:val="0"/>
          <w:sz w:val="21"/>
          <w:szCs w:val="21"/>
        </w:rPr>
      </w:pPr>
      <w:r>
        <w:rPr>
          <w:rFonts w:ascii="Carlito" w:hAnsi="Carlito" w:cs="Carlito"/>
          <w:b/>
          <w:bCs/>
          <w:kern w:val="0"/>
          <w:sz w:val="21"/>
          <w:szCs w:val="21"/>
        </w:rPr>
        <w:t>« On ne bâtit pas une entreprise de 20 ans en restant immobile », dit-il. « Parfois, il faut faire confiance à son instinct, écouter ses partenaires et accepter de prendre un risque calculé. Mais il faut aussi avoir l’humilité de changer de direction quand le marché nous indique que les choses ont changé. »</w:t>
      </w:r>
    </w:p>
    <w:p w14:paraId="24D0F571" w14:textId="388FD368" w:rsidR="004B0EAB" w:rsidRPr="004B0EAB" w:rsidRDefault="004B0EAB" w:rsidP="004B0EAB">
      <w:pPr>
        <w:autoSpaceDE w:val="0"/>
        <w:autoSpaceDN w:val="0"/>
        <w:adjustRightInd w:val="0"/>
        <w:spacing w:after="298" w:line="240" w:lineRule="auto"/>
        <w:rPr>
          <w:rFonts w:ascii="Carlito" w:hAnsi="Carlito" w:cs="Carlito"/>
          <w:kern w:val="0"/>
          <w:sz w:val="21"/>
          <w:szCs w:val="21"/>
        </w:rPr>
      </w:pPr>
      <w:r>
        <w:rPr>
          <w:rFonts w:ascii="Carlito" w:hAnsi="Carlito" w:cs="Carlito"/>
          <w:b/>
          <w:bCs/>
          <w:kern w:val="0"/>
          <w:sz w:val="23"/>
          <w:szCs w:val="23"/>
        </w:rPr>
        <w:t>Regard vers l’avenir : les 20 prochaines années</w:t>
      </w:r>
      <w:r>
        <w:rPr>
          <w:rFonts w:ascii="Carlito" w:hAnsi="Carlito" w:cs="Carlito"/>
          <w:b/>
          <w:bCs/>
          <w:kern w:val="0"/>
          <w:sz w:val="21"/>
          <w:szCs w:val="21"/>
        </w:rPr>
        <w:br/>
      </w:r>
      <w:r>
        <w:rPr>
          <w:rFonts w:ascii="Carlito" w:hAnsi="Carlito" w:cs="Carlito"/>
          <w:kern w:val="0"/>
          <w:sz w:val="21"/>
          <w:szCs w:val="21"/>
        </w:rPr>
        <w:t>Henry Gagnon croit que l’industrie entre peut-être dans l’une de ses périodes de transformation les plus importantes à ce jour. Les nouveaux modèles de distribution, l’évolution des comportements des consommateurs, la mondialisation continue du contenu et le développement rapide de l’intelligence artificielle créent à la fois des perturbations et des occasions.</w:t>
      </w:r>
    </w:p>
    <w:p w14:paraId="781D1F47" w14:textId="48DA4102" w:rsidR="004B0EAB" w:rsidRPr="004B0EAB" w:rsidRDefault="004B0EAB" w:rsidP="004B0EAB">
      <w:pPr>
        <w:autoSpaceDE w:val="0"/>
        <w:autoSpaceDN w:val="0"/>
        <w:adjustRightInd w:val="0"/>
        <w:spacing w:after="240" w:line="240" w:lineRule="auto"/>
        <w:jc w:val="both"/>
        <w:rPr>
          <w:rFonts w:ascii="Carlito" w:hAnsi="Carlito" w:cs="Carlito"/>
          <w:kern w:val="0"/>
          <w:sz w:val="21"/>
          <w:szCs w:val="21"/>
        </w:rPr>
      </w:pPr>
      <w:r>
        <w:rPr>
          <w:rFonts w:ascii="Carlito" w:hAnsi="Carlito" w:cs="Carlito"/>
          <w:kern w:val="0"/>
          <w:sz w:val="21"/>
          <w:szCs w:val="21"/>
        </w:rPr>
        <w:t>HG Distribution abordera ces changements avec la même curiosité et le même esprit entrepreneurial, en continuant de renforcer son réseau international et d’explorer de nouvelles occasions de distribution et de nouvelles technologies. Pour Henry Gagnon, l’IA fait partie de cet avenir : non pas un remplacement des relations et de la créativité sur lesquelles l’industrie repose, mais un autre grand virage à aborder de façon stratégique.</w:t>
      </w:r>
    </w:p>
    <w:p w14:paraId="631AC935" w14:textId="34891306" w:rsidR="004B0EAB" w:rsidRPr="004B0EAB" w:rsidRDefault="004B0EAB" w:rsidP="004B0EAB">
      <w:pPr>
        <w:autoSpaceDE w:val="0"/>
        <w:autoSpaceDN w:val="0"/>
        <w:adjustRightInd w:val="0"/>
        <w:spacing w:after="240" w:line="240" w:lineRule="auto"/>
        <w:jc w:val="both"/>
        <w:rPr>
          <w:rFonts w:ascii="Carlito" w:hAnsi="Carlito" w:cs="Carlito"/>
          <w:kern w:val="0"/>
          <w:sz w:val="21"/>
          <w:szCs w:val="21"/>
        </w:rPr>
      </w:pPr>
      <w:r>
        <w:rPr>
          <w:rFonts w:ascii="Carlito" w:hAnsi="Carlito" w:cs="Carlito"/>
          <w:b/>
          <w:bCs/>
          <w:kern w:val="0"/>
          <w:sz w:val="21"/>
          <w:szCs w:val="21"/>
        </w:rPr>
        <w:t>« Nous entrons dans une période qui pourrait être tout aussi transformatrice que tout ce que nous avons vécu durant nos 20 premières années », affirme Henry Gagnon. « Nous voulons participer à cette transformation, pas la regarder passer depuis les lignes de côté. »</w:t>
      </w:r>
    </w:p>
    <w:p w14:paraId="163521C9" w14:textId="23592C70" w:rsidR="004B0EAB" w:rsidRPr="004B0EAB" w:rsidRDefault="004B0EAB" w:rsidP="004B0EAB">
      <w:pPr>
        <w:keepNext/>
        <w:autoSpaceDE w:val="0"/>
        <w:autoSpaceDN w:val="0"/>
        <w:adjustRightInd w:val="0"/>
        <w:spacing w:after="298" w:line="240" w:lineRule="auto"/>
        <w:rPr>
          <w:rFonts w:ascii="Carlito" w:hAnsi="Carlito" w:cs="Carlito"/>
          <w:kern w:val="0"/>
          <w:sz w:val="21"/>
          <w:szCs w:val="21"/>
        </w:rPr>
      </w:pPr>
      <w:r>
        <w:rPr>
          <w:rFonts w:ascii="Carlito" w:hAnsi="Carlito" w:cs="Carlito"/>
          <w:b/>
          <w:bCs/>
          <w:kern w:val="0"/>
          <w:sz w:val="23"/>
          <w:szCs w:val="23"/>
        </w:rPr>
        <w:lastRenderedPageBreak/>
        <w:t>Toujours curieux après 20 ans</w:t>
      </w:r>
    </w:p>
    <w:p w14:paraId="1EDC7691" w14:textId="62611DFD" w:rsidR="004B0EAB" w:rsidRPr="004B0EAB" w:rsidRDefault="004B0EAB" w:rsidP="004B0EAB">
      <w:pPr>
        <w:autoSpaceDE w:val="0"/>
        <w:autoSpaceDN w:val="0"/>
        <w:adjustRightInd w:val="0"/>
        <w:spacing w:after="240" w:line="240" w:lineRule="auto"/>
        <w:jc w:val="both"/>
        <w:rPr>
          <w:rFonts w:ascii="Carlito" w:hAnsi="Carlito" w:cs="Carlito"/>
          <w:kern w:val="0"/>
          <w:sz w:val="21"/>
          <w:szCs w:val="21"/>
        </w:rPr>
      </w:pPr>
      <w:r>
        <w:rPr>
          <w:rFonts w:ascii="Carlito" w:hAnsi="Carlito" w:cs="Carlito"/>
          <w:b/>
          <w:bCs/>
          <w:kern w:val="0"/>
          <w:sz w:val="21"/>
          <w:szCs w:val="21"/>
        </w:rPr>
        <w:t>« Notre plus grande force après 20 ans est peut-être tout simplement de ne jamais avoir cessé d’être curieux », conclut Henry Gagnon. « Ce qui fonctionnait il y a 20 ans ne fonctionnera pas nécessairement demain, et c’est exactement ce qui rend les 20 prochaines années si emballantes. »</w:t>
      </w:r>
    </w:p>
    <w:p w14:paraId="75D781D9" w14:textId="30957EFB" w:rsidR="004B0EAB" w:rsidRPr="004B0EAB" w:rsidRDefault="004B0EAB" w:rsidP="004B0EAB">
      <w:pPr>
        <w:autoSpaceDE w:val="0"/>
        <w:autoSpaceDN w:val="0"/>
        <w:adjustRightInd w:val="0"/>
        <w:spacing w:after="298" w:line="240" w:lineRule="auto"/>
        <w:rPr>
          <w:rFonts w:ascii="Carlito" w:hAnsi="Carlito" w:cs="Carlito"/>
          <w:kern w:val="0"/>
          <w:sz w:val="21"/>
          <w:szCs w:val="21"/>
        </w:rPr>
      </w:pPr>
      <w:r>
        <w:rPr>
          <w:rFonts w:ascii="Carlito" w:hAnsi="Carlito" w:cs="Carlito"/>
          <w:b/>
          <w:bCs/>
          <w:kern w:val="0"/>
          <w:sz w:val="21"/>
          <w:szCs w:val="21"/>
        </w:rPr>
        <w:br/>
      </w:r>
      <w:r>
        <w:rPr>
          <w:rFonts w:ascii="Carlito" w:hAnsi="Carlito" w:cs="Carlito"/>
          <w:b/>
          <w:bCs/>
          <w:kern w:val="0"/>
          <w:sz w:val="23"/>
          <w:szCs w:val="23"/>
        </w:rPr>
        <w:t>À propos de HG Distribution</w:t>
      </w:r>
      <w:r>
        <w:rPr>
          <w:rFonts w:ascii="Carlito" w:hAnsi="Carlito" w:cs="Carlito"/>
          <w:b/>
          <w:bCs/>
          <w:kern w:val="0"/>
          <w:sz w:val="21"/>
          <w:szCs w:val="21"/>
        </w:rPr>
        <w:br/>
      </w:r>
      <w:r>
        <w:rPr>
          <w:rFonts w:ascii="Carlito" w:hAnsi="Carlito" w:cs="Carlito"/>
          <w:kern w:val="0"/>
          <w:sz w:val="21"/>
          <w:szCs w:val="21"/>
        </w:rPr>
        <w:t xml:space="preserve">Fondée en </w:t>
      </w:r>
      <w:r>
        <w:rPr>
          <w:rFonts w:ascii="Carlito" w:hAnsi="Carlito" w:cs="Carlito"/>
          <w:b/>
          <w:bCs/>
          <w:kern w:val="0"/>
          <w:sz w:val="21"/>
          <w:szCs w:val="21"/>
        </w:rPr>
        <w:t>2006</w:t>
      </w:r>
      <w:r>
        <w:rPr>
          <w:rFonts w:ascii="Carlito" w:hAnsi="Carlito" w:cs="Carlito"/>
          <w:kern w:val="0"/>
          <w:sz w:val="21"/>
          <w:szCs w:val="21"/>
        </w:rPr>
        <w:t xml:space="preserve"> par Henry Gagnon, </w:t>
      </w:r>
      <w:r>
        <w:rPr>
          <w:rFonts w:ascii="Carlito" w:hAnsi="Carlito" w:cs="Carlito"/>
          <w:b/>
          <w:bCs/>
          <w:kern w:val="0"/>
          <w:sz w:val="21"/>
          <w:szCs w:val="21"/>
        </w:rPr>
        <w:t>HG Distribution</w:t>
      </w:r>
      <w:r>
        <w:rPr>
          <w:rFonts w:ascii="Carlito" w:hAnsi="Carlito" w:cs="Carlito"/>
          <w:kern w:val="0"/>
          <w:sz w:val="21"/>
          <w:szCs w:val="21"/>
        </w:rPr>
        <w:t xml:space="preserve"> est une entreprise canadienne de distribution de contenu qui sert un réseau international de partenaires de l’industrie mondiale des médias et du divertissement, reconnue pour son approche entrepreneuriale et la solidité de ses relations dans l’industrie.</w:t>
      </w:r>
    </w:p>
    <w:p w14:paraId="177F965E" w14:textId="77777777" w:rsidR="004B0EAB" w:rsidRDefault="004B0EAB" w:rsidP="004B0EAB">
      <w:pPr>
        <w:autoSpaceDE w:val="0"/>
        <w:autoSpaceDN w:val="0"/>
        <w:adjustRightInd w:val="0"/>
        <w:spacing w:after="240" w:line="240" w:lineRule="auto"/>
        <w:jc w:val="center"/>
        <w:rPr>
          <w:rFonts w:ascii="Calibri" w:hAnsi="Calibri" w:cs="Calibri"/>
          <w:b/>
          <w:bCs/>
          <w:kern w:val="0"/>
        </w:rPr>
      </w:pPr>
      <w:r>
        <w:rPr>
          <w:rFonts w:ascii="Calibri" w:hAnsi="Calibri" w:cs="Calibri"/>
          <w:b/>
          <w:bCs/>
          <w:kern w:val="0"/>
        </w:rPr>
        <w:t>– 30 –</w:t>
      </w:r>
    </w:p>
    <w:p w14:paraId="3561D5E3" w14:textId="26E6CF6E" w:rsidR="004B0EAB" w:rsidRPr="004B0EAB" w:rsidRDefault="004B0EAB" w:rsidP="004B0EAB">
      <w:pPr>
        <w:autoSpaceDE w:val="0"/>
        <w:autoSpaceDN w:val="0"/>
        <w:adjustRightInd w:val="0"/>
        <w:spacing w:after="240" w:line="240" w:lineRule="auto"/>
        <w:rPr>
          <w:rFonts w:ascii="Calibri" w:hAnsi="Calibri" w:cs="Calibri"/>
          <w:b/>
          <w:bCs/>
          <w:color w:val="003F72"/>
          <w:kern w:val="0"/>
        </w:rPr>
      </w:pPr>
      <w:r>
        <w:rPr>
          <w:rFonts w:ascii="Carlito" w:hAnsi="Carlito" w:cs="Carlito"/>
          <w:b/>
          <w:bCs/>
          <w:noProof/>
          <w:color w:val="003F72"/>
          <w:sz w:val="21"/>
          <w:szCs w:val="21"/>
        </w:rPr>
        <mc:AlternateContent>
          <mc:Choice Requires="wps">
            <w:drawing>
              <wp:anchor distT="0" distB="0" distL="114300" distR="114300" simplePos="0" relativeHeight="251661312" behindDoc="0" locked="0" layoutInCell="1" allowOverlap="1" wp14:anchorId="75C2492E" wp14:editId="7FB06475">
                <wp:simplePos x="0" y="0"/>
                <wp:positionH relativeFrom="margin">
                  <wp:align>left</wp:align>
                </wp:positionH>
                <wp:positionV relativeFrom="paragraph">
                  <wp:posOffset>235585</wp:posOffset>
                </wp:positionV>
                <wp:extent cx="7063740" cy="7620"/>
                <wp:effectExtent l="0" t="0" r="22860" b="30480"/>
                <wp:wrapNone/>
                <wp:docPr id="73190651" name="Connecteur droit 2"/>
                <wp:cNvGraphicFramePr/>
                <a:graphic xmlns:a="http://schemas.openxmlformats.org/drawingml/2006/main">
                  <a:graphicData uri="http://schemas.microsoft.com/office/word/2010/wordprocessingShape">
                    <wps:wsp>
                      <wps:cNvCnPr/>
                      <wps:spPr>
                        <a:xfrm flipV="1">
                          <a:off x="0" y="0"/>
                          <a:ext cx="7063740" cy="7620"/>
                        </a:xfrm>
                        <a:prstGeom prst="line">
                          <a:avLst/>
                        </a:prstGeom>
                        <a:ln w="12700">
                          <a:solidFill>
                            <a:srgbClr val="003F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92D18B" id="Connecteur droit 2" o:spid="_x0000_s1026"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from="0,18.55pt" to="556.2pt,19.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E0hzzwEAAOwDAAAOAAAAZHJzL2Uyb0RvYy54bWysU8tu2zAQvBfoPxC815KVwioEyzkkcC5F G7RN7jS1tAjwBZK15L/vkpKVR9FDg1wIcXdndme42l6PWpET+CCtael6VVIChttOmmNLH37tP32h JERmOqasgZaeIdDr3ccP28E1UNneqg48QRITmsG1tI/RNUUReA+ahZV1YDAprNcs4tUfi86zAdm1 Kqqy3BSD9Z3zlkMIGL2dknSX+YUAHr8LESAS1VKcLebT5/OQzmK3Zc3RM9dLPo/B3jCFZtJg04Xq lkVGfnv5F5WW3NtgRVxxqwsrhOSQNaCadflKzc+eOcha0JzgFpvC+9Hyb6cbc+/RhsGFJrh7n1SM wmsilHSP+KZZF05KxmzbebENxkg4Butyc1V/Rnc55upNlV0tJpbE5nyId2A1SR8tVdIkUaxhp68h YmcsvZSksDJkwLZVXZa5LFglu71UKiWDPx5ulCcnlh60vNrXVXpDpHhWhjdlMPgkKX/Fs4KpwQ8Q RHY4+iQubxsstIxzMHE98yqD1QkmcIQFOI+W1vRfwLk+QSFv4v+AF0TubE1cwFoa6ydjXnaP42Vk MdVfHJh0JwsOtjvnx87W4Epl5+b1Tzv7/J7hTz/p7g8AAAD//wMAUEsDBBQABgAIAAAAIQDVBcGD 4AAAAAcBAAAPAAAAZHJzL2Rvd25yZXYueG1sTI9Lb8IwEITvlfofrEXqrTiBlkeIg1AfqkDtAQpS jyZekqjxOoo3kP77mlN73JnRzLfpsre1OGPrK0cK4mEEAil3pqJCwf7z9X4GwrMmo2tHqOAHPSyz 25tUJ8ZdaIvnHRcilJBPtIKSuUmk9HmJVvuha5CCd3Kt1RzOtpCm1ZdQbms5iqKJtLqisFDqBp9K zL93nVXw+Hz64pVdN/P9e7c5FDx/O7x8KHU36FcLEIw9/4Xhih/QIQtMR9eR8aJWEB5hBeNpDOLq xvHoAcQxKLMxyCyV//mzXwAAAP//AwBQSwECLQAUAAYACAAAACEAtoM4kv4AAADhAQAAEwAAAAAA AAAAAAAAAAAAAAAAW0NvbnRlbnRfVHlwZXNdLnhtbFBLAQItABQABgAIAAAAIQA4/SH/1gAAAJQB AAALAAAAAAAAAAAAAAAAAC8BAABfcmVscy8ucmVsc1BLAQItABQABgAIAAAAIQC6E0hzzwEAAOwD AAAOAAAAAAAAAAAAAAAAAC4CAABkcnMvZTJvRG9jLnhtbFBLAQItABQABgAIAAAAIQDVBcGD4AAA AAcBAAAPAAAAAAAAAAAAAAAAACkEAABkcnMvZG93bnJldi54bWxQSwUGAAAAAAQABADzAAAANgUA AAAA " strokecolor="#003f72" strokeweight="1pt">
                <v:stroke joinstyle="miter"/>
                <w10:wrap anchorx="margin"/>
              </v:line>
            </w:pict>
          </mc:Fallback>
        </mc:AlternateContent>
      </w:r>
      <w:r>
        <w:rPr>
          <w:rFonts w:ascii="Calibri" w:hAnsi="Calibri" w:cs="Calibri"/>
          <w:b/>
          <w:bCs/>
          <w:color w:val="003F72"/>
          <w:kern w:val="0"/>
        </w:rPr>
        <w:t>Contact média</w:t>
      </w:r>
    </w:p>
    <w:p w14:paraId="1E76FC7C" w14:textId="258C5516" w:rsidR="004B0EAB" w:rsidRPr="004B0EAB" w:rsidRDefault="004B0EAB" w:rsidP="004B0EAB">
      <w:pPr>
        <w:autoSpaceDE w:val="0"/>
        <w:autoSpaceDN w:val="0"/>
        <w:adjustRightInd w:val="0"/>
        <w:spacing w:after="240" w:line="240" w:lineRule="auto"/>
        <w:rPr>
          <w:rFonts w:ascii="Calibri" w:hAnsi="Calibri" w:cs="Calibri"/>
          <w:kern w:val="0"/>
        </w:rPr>
      </w:pPr>
      <w:r>
        <w:rPr>
          <w:rFonts w:ascii="Calibri" w:hAnsi="Calibri" w:cs="Calibri"/>
          <w:b/>
          <w:bCs/>
          <w:kern w:val="0"/>
        </w:rPr>
        <w:t xml:space="preserve">Sylvie Adamovicz </w:t>
      </w:r>
      <w:r>
        <w:rPr>
          <w:rFonts w:ascii="Calibri" w:hAnsi="Calibri" w:cs="Calibri"/>
          <w:kern w:val="0"/>
        </w:rPr>
        <w:t>– Responsable du marketing</w:t>
      </w:r>
      <w:r>
        <w:rPr>
          <w:rFonts w:ascii="Calibri" w:hAnsi="Calibri" w:cs="Calibri"/>
          <w:kern w:val="0"/>
        </w:rPr>
        <w:br/>
        <w:t xml:space="preserve">Courriel : </w:t>
      </w:r>
      <w:hyperlink r:id="rId5" w:history="1">
        <w:r>
          <w:rPr>
            <w:rStyle w:val="Hyperlien"/>
            <w:rFonts w:ascii="Calibri" w:hAnsi="Calibri" w:cs="Calibri"/>
            <w:kern w:val="0"/>
          </w:rPr>
          <w:t>sylvie@hgagnondistribution.com</w:t>
        </w:r>
      </w:hyperlink>
      <w:r>
        <w:rPr>
          <w:rFonts w:ascii="Calibri" w:hAnsi="Calibri" w:cs="Calibri"/>
          <w:kern w:val="0"/>
        </w:rPr>
        <w:t xml:space="preserve"> </w:t>
      </w:r>
      <w:r>
        <w:rPr>
          <w:rFonts w:ascii="Calibri" w:hAnsi="Calibri" w:cs="Calibri"/>
          <w:kern w:val="0"/>
        </w:rPr>
        <w:br/>
        <w:t>Téléphone : +1 (514) 531-5525</w:t>
      </w:r>
      <w:r>
        <w:rPr>
          <w:rFonts w:ascii="Calibri" w:hAnsi="Calibri" w:cs="Calibri"/>
          <w:kern w:val="0"/>
        </w:rPr>
        <w:br/>
        <w:t>Site Web : hgagnondistribution.com</w:t>
      </w:r>
      <w:r>
        <w:rPr>
          <w:rFonts w:ascii="Calibri" w:hAnsi="Calibri" w:cs="Calibri"/>
          <w:kern w:val="0"/>
        </w:rPr>
        <w:br/>
        <w:t>LinkedIn: linkedin.com/company/hg-distribution_inc</w:t>
      </w:r>
    </w:p>
    <w:p w14:paraId="51C715BC" w14:textId="77777777" w:rsidR="004B0EAB" w:rsidRPr="00182072" w:rsidRDefault="004B0EAB" w:rsidP="00182072">
      <w:pPr>
        <w:autoSpaceDE w:val="0"/>
        <w:autoSpaceDN w:val="0"/>
        <w:adjustRightInd w:val="0"/>
        <w:spacing w:after="321" w:line="240" w:lineRule="auto"/>
        <w:rPr>
          <w:rFonts w:ascii="Carlito" w:hAnsi="Carlito" w:cs="Carlito"/>
          <w:kern w:val="0"/>
          <w:sz w:val="21"/>
          <w:szCs w:val="21"/>
        </w:rPr>
      </w:pPr>
    </w:p>
    <w:p w14:paraId="702DC38F" w14:textId="77777777" w:rsidR="00182072" w:rsidRPr="00182072" w:rsidRDefault="00182072" w:rsidP="00182072">
      <w:pPr>
        <w:autoSpaceDE w:val="0"/>
        <w:autoSpaceDN w:val="0"/>
        <w:adjustRightInd w:val="0"/>
        <w:spacing w:after="321" w:line="240" w:lineRule="auto"/>
        <w:rPr>
          <w:rFonts w:ascii="Carlito" w:hAnsi="Carlito" w:cs="Carlito"/>
          <w:b/>
          <w:bCs/>
          <w:color w:val="003F72"/>
          <w:kern w:val="0"/>
          <w:sz w:val="21"/>
          <w:szCs w:val="21"/>
        </w:rPr>
      </w:pPr>
    </w:p>
    <w:p w14:paraId="28569A1D" w14:textId="77777777" w:rsidR="00182072" w:rsidRPr="00182072" w:rsidRDefault="00182072" w:rsidP="00182072">
      <w:pPr>
        <w:spacing w:after="0"/>
        <w:rPr>
          <w:rFonts w:ascii="Carlito" w:hAnsi="Carlito" w:cs="Carlito"/>
          <w:b/>
          <w:bCs/>
          <w:sz w:val="30"/>
          <w:szCs w:val="30"/>
        </w:rPr>
      </w:pPr>
    </w:p>
    <w:sectPr w:rsidR="00182072" w:rsidRPr="00182072" w:rsidSect="0018207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rlito">
    <w:panose1 w:val="020F0502020204030204"/>
    <w:charset w:val="00"/>
    <w:family w:val="swiss"/>
    <w:pitch w:val="variable"/>
    <w:sig w:usb0="E10002FF" w:usb1="5000ECFF" w:usb2="00000009"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86"/>
    <w:rsid w:val="00182072"/>
    <w:rsid w:val="0026306A"/>
    <w:rsid w:val="002A5197"/>
    <w:rsid w:val="004552C1"/>
    <w:rsid w:val="004B0EAB"/>
    <w:rsid w:val="004B3F86"/>
    <w:rsid w:val="008831B5"/>
    <w:rsid w:val="0090060B"/>
    <w:rsid w:val="00A84047"/>
    <w:rsid w:val="00AE0EDF"/>
    <w:rsid w:val="00B80367"/>
    <w:rsid w:val="00B87F71"/>
    <w:rsid w:val="00C57DA5"/>
    <w:rsid w:val="00D457B5"/>
    <w:rsid w:val="00DC336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1FE9D"/>
  <w15:chartTrackingRefBased/>
  <w15:docId w15:val="{651384EC-8388-45D4-A773-F39535C8D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B3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B3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B3F8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B3F8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B3F8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B3F8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B3F8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B3F8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B3F8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B3F8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B3F8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B3F8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B3F8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B3F8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B3F8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B3F8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B3F8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B3F86"/>
    <w:rPr>
      <w:rFonts w:eastAsiaTheme="majorEastAsia" w:cstheme="majorBidi"/>
      <w:color w:val="272727" w:themeColor="text1" w:themeTint="D8"/>
    </w:rPr>
  </w:style>
  <w:style w:type="paragraph" w:styleId="Titre">
    <w:name w:val="Title"/>
    <w:basedOn w:val="Normal"/>
    <w:next w:val="Normal"/>
    <w:link w:val="TitreCar"/>
    <w:uiPriority w:val="10"/>
    <w:qFormat/>
    <w:rsid w:val="004B3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B3F8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B3F8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B3F8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B3F86"/>
    <w:pPr>
      <w:spacing w:before="160"/>
      <w:jc w:val="center"/>
    </w:pPr>
    <w:rPr>
      <w:i/>
      <w:iCs/>
      <w:color w:val="404040" w:themeColor="text1" w:themeTint="BF"/>
    </w:rPr>
  </w:style>
  <w:style w:type="character" w:customStyle="1" w:styleId="CitationCar">
    <w:name w:val="Citation Car"/>
    <w:basedOn w:val="Policepardfaut"/>
    <w:link w:val="Citation"/>
    <w:uiPriority w:val="29"/>
    <w:rsid w:val="004B3F86"/>
    <w:rPr>
      <w:i/>
      <w:iCs/>
      <w:color w:val="404040" w:themeColor="text1" w:themeTint="BF"/>
    </w:rPr>
  </w:style>
  <w:style w:type="paragraph" w:styleId="Paragraphedeliste">
    <w:name w:val="List Paragraph"/>
    <w:basedOn w:val="Normal"/>
    <w:uiPriority w:val="34"/>
    <w:qFormat/>
    <w:rsid w:val="004B3F86"/>
    <w:pPr>
      <w:ind w:left="720"/>
      <w:contextualSpacing/>
    </w:pPr>
  </w:style>
  <w:style w:type="character" w:styleId="Accentuationintense">
    <w:name w:val="Intense Emphasis"/>
    <w:basedOn w:val="Policepardfaut"/>
    <w:uiPriority w:val="21"/>
    <w:qFormat/>
    <w:rsid w:val="004B3F86"/>
    <w:rPr>
      <w:i/>
      <w:iCs/>
      <w:color w:val="0F4761" w:themeColor="accent1" w:themeShade="BF"/>
    </w:rPr>
  </w:style>
  <w:style w:type="paragraph" w:styleId="Citationintense">
    <w:name w:val="Intense Quote"/>
    <w:basedOn w:val="Normal"/>
    <w:next w:val="Normal"/>
    <w:link w:val="CitationintenseCar"/>
    <w:uiPriority w:val="30"/>
    <w:qFormat/>
    <w:rsid w:val="004B3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B3F86"/>
    <w:rPr>
      <w:i/>
      <w:iCs/>
      <w:color w:val="0F4761" w:themeColor="accent1" w:themeShade="BF"/>
    </w:rPr>
  </w:style>
  <w:style w:type="character" w:styleId="Rfrenceintense">
    <w:name w:val="Intense Reference"/>
    <w:basedOn w:val="Policepardfaut"/>
    <w:uiPriority w:val="32"/>
    <w:qFormat/>
    <w:rsid w:val="004B3F86"/>
    <w:rPr>
      <w:b/>
      <w:bCs/>
      <w:smallCaps/>
      <w:color w:val="0F4761" w:themeColor="accent1" w:themeShade="BF"/>
      <w:spacing w:val="5"/>
    </w:rPr>
  </w:style>
  <w:style w:type="character" w:styleId="Hyperlien">
    <w:name w:val="Hyperlink"/>
    <w:basedOn w:val="Policepardfaut"/>
    <w:uiPriority w:val="99"/>
    <w:unhideWhenUsed/>
    <w:rsid w:val="004B0EAB"/>
    <w:rPr>
      <w:color w:val="467886" w:themeColor="hyperlink"/>
      <w:u w:val="single"/>
    </w:rPr>
  </w:style>
  <w:style w:type="character" w:styleId="Mentionnonrsolue">
    <w:name w:val="Unresolved Mention"/>
    <w:basedOn w:val="Policepardfaut"/>
    <w:uiPriority w:val="99"/>
    <w:semiHidden/>
    <w:unhideWhenUsed/>
    <w:rsid w:val="004B0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ylvie@hgagnondistribution.com" TargetMode="Externa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638</Words>
  <Characters>3511</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Andréane Le May</dc:creator>
  <cp:keywords/>
  <dc:description/>
  <cp:lastModifiedBy>Andréane Le May</cp:lastModifiedBy>
  <cp:revision>5</cp:revision>
  <dcterms:created xsi:type="dcterms:W3CDTF">2026-09-22T17:50:00Z</dcterms:created>
  <dcterms:modified xsi:type="dcterms:W3CDTF">2026-09-24T18:43:00Z</dcterms:modified>
</cp:coreProperties>
</file>