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25BA2" w14:textId="519F26FA" w:rsidR="00182072" w:rsidRDefault="00182072" w:rsidP="00182072">
      <w:pPr>
        <w:spacing w:after="0"/>
      </w:pPr>
      <w:r>
        <w:rPr>
          <w:noProof/>
        </w:rPr>
        <w:drawing>
          <wp:anchor distT="0" distB="0" distL="114300" distR="114300" simplePos="0" relativeHeight="251658240" behindDoc="0" locked="0" layoutInCell="1" allowOverlap="1" wp14:anchorId="322C8D34" wp14:editId="116500DB">
            <wp:simplePos x="0" y="0"/>
            <wp:positionH relativeFrom="margin">
              <wp:align>center</wp:align>
            </wp:positionH>
            <wp:positionV relativeFrom="paragraph">
              <wp:posOffset>-294005</wp:posOffset>
            </wp:positionV>
            <wp:extent cx="7391400" cy="1900035"/>
            <wp:effectExtent l="0" t="0" r="0" b="5080"/>
            <wp:wrapNone/>
            <wp:docPr id="1660678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78236" name="Image 1660678236"/>
                    <pic:cNvPicPr/>
                  </pic:nvPicPr>
                  <pic:blipFill>
                    <a:blip r:embed="rId4" cstate="print">
                      <a:extLst>
                        <a:ext uri="{28A0092B-C50C-407E-A947-70E740481C1C}">
                          <a14:useLocalDpi xmlns:a14="http://schemas.microsoft.com/office/drawing/2010/main" val="0"/>
                        </a:ext>
                      </a:extLst>
                    </a:blip>
                    <a:stretch>
                      <a:fillRect/>
                    </a:stretch>
                  </pic:blipFill>
                  <pic:spPr>
                    <a:xfrm>
                      <a:off x="0" y="0"/>
                      <a:ext cx="7391400" cy="1900035"/>
                    </a:xfrm>
                    <a:prstGeom prst="rect">
                      <a:avLst/>
                    </a:prstGeom>
                  </pic:spPr>
                </pic:pic>
              </a:graphicData>
            </a:graphic>
            <wp14:sizeRelH relativeFrom="margin">
              <wp14:pctWidth>0</wp14:pctWidth>
            </wp14:sizeRelH>
            <wp14:sizeRelV relativeFrom="margin">
              <wp14:pctHeight>0</wp14:pctHeight>
            </wp14:sizeRelV>
          </wp:anchor>
        </w:drawing>
      </w:r>
    </w:p>
    <w:p w14:paraId="1B1FD1A1" w14:textId="05347002" w:rsidR="00182072" w:rsidRDefault="00182072" w:rsidP="00182072">
      <w:pPr>
        <w:spacing w:after="0"/>
      </w:pPr>
    </w:p>
    <w:p w14:paraId="26CAD9CD" w14:textId="0B30FCDD" w:rsidR="00182072" w:rsidRDefault="00182072" w:rsidP="00182072">
      <w:pPr>
        <w:spacing w:after="0"/>
      </w:pPr>
    </w:p>
    <w:p w14:paraId="0E015189" w14:textId="77777777" w:rsidR="00182072" w:rsidRDefault="00182072" w:rsidP="00182072">
      <w:pPr>
        <w:spacing w:after="0"/>
      </w:pPr>
    </w:p>
    <w:p w14:paraId="4A561ADA" w14:textId="77777777" w:rsidR="00182072" w:rsidRDefault="00182072" w:rsidP="00182072">
      <w:pPr>
        <w:spacing w:after="0"/>
      </w:pPr>
    </w:p>
    <w:p w14:paraId="59CF2A25" w14:textId="77777777" w:rsidR="00182072" w:rsidRDefault="00182072" w:rsidP="00182072">
      <w:pPr>
        <w:spacing w:after="0"/>
        <w:rPr>
          <w:rFonts w:ascii="Carlito" w:hAnsi="Carlito" w:cs="Carlito"/>
          <w:b/>
          <w:bCs/>
          <w:sz w:val="21"/>
          <w:szCs w:val="21"/>
        </w:rPr>
      </w:pPr>
    </w:p>
    <w:p w14:paraId="25B1B387" w14:textId="77777777" w:rsidR="00182072" w:rsidRDefault="00182072" w:rsidP="00182072">
      <w:pPr>
        <w:spacing w:after="0"/>
        <w:rPr>
          <w:rFonts w:ascii="Carlito" w:hAnsi="Carlito" w:cs="Carlito"/>
          <w:b/>
          <w:bCs/>
          <w:sz w:val="21"/>
          <w:szCs w:val="21"/>
        </w:rPr>
      </w:pPr>
    </w:p>
    <w:p w14:paraId="5DC6DB14" w14:textId="77777777" w:rsidR="00182072" w:rsidRDefault="00182072" w:rsidP="00182072">
      <w:pPr>
        <w:spacing w:after="0"/>
        <w:rPr>
          <w:rFonts w:ascii="Carlito" w:hAnsi="Carlito" w:cs="Carlito"/>
          <w:b/>
          <w:bCs/>
          <w:sz w:val="21"/>
          <w:szCs w:val="21"/>
        </w:rPr>
      </w:pPr>
    </w:p>
    <w:p w14:paraId="204400B3" w14:textId="77777777" w:rsidR="00182072" w:rsidRDefault="00182072" w:rsidP="00182072">
      <w:pPr>
        <w:spacing w:after="0"/>
        <w:rPr>
          <w:rFonts w:ascii="Carlito" w:hAnsi="Carlito" w:cs="Carlito"/>
          <w:b/>
          <w:bCs/>
          <w:sz w:val="21"/>
          <w:szCs w:val="21"/>
        </w:rPr>
      </w:pPr>
    </w:p>
    <w:p w14:paraId="4C9FE81F" w14:textId="77777777" w:rsidR="00182072" w:rsidRDefault="00182072" w:rsidP="00182072">
      <w:pPr>
        <w:spacing w:after="0"/>
        <w:rPr>
          <w:rFonts w:ascii="Carlito" w:hAnsi="Carlito" w:cs="Carlito"/>
          <w:b/>
          <w:bCs/>
          <w:sz w:val="21"/>
          <w:szCs w:val="21"/>
        </w:rPr>
      </w:pPr>
    </w:p>
    <w:p w14:paraId="0C8EF2E2" w14:textId="3D2B1E8C" w:rsidR="00182072" w:rsidRPr="00182072" w:rsidRDefault="00182072" w:rsidP="00182072">
      <w:pPr>
        <w:spacing w:after="0"/>
        <w:rPr>
          <w:rFonts w:ascii="Carlito" w:hAnsi="Carlito" w:cs="Carlito"/>
          <w:i/>
          <w:iCs/>
          <w:sz w:val="19"/>
          <w:szCs w:val="19"/>
          <w:lang w:val="en-CA"/>
        </w:rPr>
      </w:pPr>
      <w:r>
        <w:rPr>
          <w:rFonts w:ascii="Carlito" w:hAnsi="Carlito" w:cs="Carlito"/>
          <w:b/>
          <w:bCs/>
          <w:sz w:val="21"/>
          <w:szCs w:val="21"/>
          <w:lang w:val="en-CA"/>
        </w:rPr>
        <w:t>PRESS RELEASE</w:t>
      </w:r>
      <w:r>
        <w:rPr>
          <w:rFonts w:ascii="Carlito" w:hAnsi="Carlito" w:cs="Carlito"/>
          <w:b/>
          <w:bCs/>
          <w:lang w:val="en-CA"/>
        </w:rPr>
        <w:br/>
      </w:r>
      <w:r>
        <w:rPr>
          <w:rFonts w:ascii="Carlito" w:hAnsi="Carlito" w:cs="Carlito"/>
          <w:i/>
          <w:iCs/>
          <w:sz w:val="19"/>
          <w:szCs w:val="19"/>
          <w:lang w:val="en-CA"/>
        </w:rPr>
        <w:t>For immediate release</w:t>
      </w:r>
    </w:p>
    <w:p w14:paraId="5BAA64A1" w14:textId="2DD225D7" w:rsidR="00182072" w:rsidRPr="00182072" w:rsidRDefault="00182072" w:rsidP="00182072">
      <w:pPr>
        <w:spacing w:after="0"/>
        <w:rPr>
          <w:rFonts w:ascii="Carlito" w:hAnsi="Carlito" w:cs="Carlito"/>
          <w:sz w:val="21"/>
          <w:szCs w:val="21"/>
          <w:lang w:val="en-CA"/>
        </w:rPr>
      </w:pPr>
      <w:r>
        <w:rPr>
          <w:rFonts w:ascii="Carlito" w:hAnsi="Carlito" w:cs="Carlito"/>
          <w:b/>
          <w:bCs/>
          <w:noProof/>
          <w:sz w:val="21"/>
          <w:szCs w:val="21"/>
        </w:rPr>
        <mc:AlternateContent>
          <mc:Choice Requires="wps">
            <w:drawing>
              <wp:anchor distT="0" distB="0" distL="114300" distR="114300" simplePos="0" relativeHeight="251659264" behindDoc="0" locked="0" layoutInCell="1" allowOverlap="1" wp14:anchorId="19AA210F" wp14:editId="7202796D">
                <wp:simplePos x="0" y="0"/>
                <wp:positionH relativeFrom="margin">
                  <wp:align>left</wp:align>
                </wp:positionH>
                <wp:positionV relativeFrom="paragraph">
                  <wp:posOffset>69215</wp:posOffset>
                </wp:positionV>
                <wp:extent cx="7063740" cy="7620"/>
                <wp:effectExtent l="0" t="0" r="22860" b="30480"/>
                <wp:wrapNone/>
                <wp:docPr id="1475169947" name="Connecteur droit 2"/>
                <wp:cNvGraphicFramePr/>
                <a:graphic xmlns:a="http://schemas.openxmlformats.org/drawingml/2006/main">
                  <a:graphicData uri="http://schemas.microsoft.com/office/word/2010/wordprocessingShape">
                    <wps:wsp>
                      <wps:cNvCnPr/>
                      <wps:spPr>
                        <a:xfrm flipV="1">
                          <a:off x="0" y="0"/>
                          <a:ext cx="7063740" cy="7620"/>
                        </a:xfrm>
                        <a:prstGeom prst="line">
                          <a:avLst/>
                        </a:prstGeom>
                        <a:ln w="12700">
                          <a:solidFill>
                            <a:srgbClr val="003F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D1FFD0" id="Connecteur droit 2"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5.45pt" to="556.2pt,6.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6E0hzzwEAAOwDAAAOAAAAZHJzL2Uyb0RvYy54bWysU8tu2zAQvBfoPxC815KVwioEyzkkcC5F G7RN7jS1tAjwBZK15L/vkpKVR9FDg1wIcXdndme42l6PWpET+CCtael6VVIChttOmmNLH37tP32h JERmOqasgZaeIdDr3ccP28E1UNneqg48QRITmsG1tI/RNUUReA+ahZV1YDAprNcs4tUfi86zAdm1 Kqqy3BSD9Z3zlkMIGL2dknSX+YUAHr8LESAS1VKcLebT5/OQzmK3Zc3RM9dLPo/B3jCFZtJg04Xq lkVGfnv5F5WW3NtgRVxxqwsrhOSQNaCadflKzc+eOcha0JzgFpvC+9Hyb6cbc+/RhsGFJrh7n1SM wmsilHSP+KZZF05KxmzbebENxkg4Butyc1V/Rnc55upNlV0tJpbE5nyId2A1SR8tVdIkUaxhp68h YmcsvZSksDJkwLZVXZa5LFglu71UKiWDPx5ulCcnlh60vNrXVXpDpHhWhjdlMPgkKX/Fs4KpwQ8Q RHY4+iQubxsstIxzMHE98yqD1QkmcIQFOI+W1vRfwLk+QSFv4v+AF0TubE1cwFoa6ydjXnaP42Vk MdVfHJh0JwsOtjvnx87W4Epl5+b1Tzv7/J7hTz/p7g8AAAD//wMAUEsDBBQABgAIAAAAIQBn5UgT 3gAAAAcBAAAPAAAAZHJzL2Rvd25yZXYueG1sTI/NTsNADITvSLzDykjc6CYRIJJmU1X8CIHKgdJK PW4TN4nIeqOs04a3xz3BzeOxZj7ni8l16ohDaD0ZiGcRKKTSVy3VBjZfLzcPoAJbqmznCQ38YIBF cXmR26zyJ/rE45prJSEUMmugYe4zrUPZoLNh5nsk8Q5+cJZFDrWuBnuScNfpJIrutbMtSUNje3xs sPxej87A3dNhx0v31qeb1fi+rTl93T5/GHN9NS3noBgn/juGM76gQyFMez9SFVRnQB5h2UYpqLMb x8ktqL1MSQy6yPV//uIXAAD//wMAUEsBAi0AFAAGAAgAAAAhALaDOJL+AAAA4QEAABMAAAAAAAAA AAAAAAAAAAAAAFtDb250ZW50X1R5cGVzXS54bWxQSwECLQAUAAYACAAAACEAOP0h/9YAAACUAQAA CwAAAAAAAAAAAAAAAAAvAQAAX3JlbHMvLnJlbHNQSwECLQAUAAYACAAAACEAuhNIc88BAADsAwAA DgAAAAAAAAAAAAAAAAAuAgAAZHJzL2Uyb0RvYy54bWxQSwECLQAUAAYACAAAACEAZ+VIE94AAAAH AQAADwAAAAAAAAAAAAAAAAApBAAAZHJzL2Rvd25yZXYueG1sUEsFBgAAAAAEAAQA8wAAADQFAAAA AA== " strokecolor="#003f72" strokeweight="1pt">
                <v:stroke joinstyle="miter"/>
                <w10:wrap anchorx="margin"/>
              </v:line>
            </w:pict>
          </mc:Fallback>
        </mc:AlternateContent>
      </w:r>
    </w:p>
    <w:p w14:paraId="171551C2" w14:textId="5E491CEE" w:rsidR="004B0EAB" w:rsidRPr="00DC3361" w:rsidRDefault="00182072" w:rsidP="004B0EAB">
      <w:pPr>
        <w:autoSpaceDE w:val="0"/>
        <w:autoSpaceDN w:val="0"/>
        <w:adjustRightInd w:val="0"/>
        <w:spacing w:after="321" w:line="240" w:lineRule="auto"/>
        <w:rPr>
          <w:rFonts w:ascii="Carlito" w:hAnsi="Carlito" w:cs="Carlito"/>
          <w:b/>
          <w:bCs/>
          <w:color w:val="003F72"/>
          <w:kern w:val="0"/>
          <w:sz w:val="20"/>
          <w:szCs w:val="20"/>
          <w:lang w:val="en-CA"/>
        </w:rPr>
      </w:pPr>
      <w:r>
        <w:rPr>
          <w:rFonts w:ascii="Carlito" w:hAnsi="Carlito" w:cs="Carlito"/>
          <w:b/>
          <w:bCs/>
          <w:color w:val="003F72"/>
          <w:kern w:val="0"/>
          <w:sz w:val="30"/>
          <w:szCs w:val="30"/>
          <w:lang w:val="en-US"/>
        </w:rPr>
        <w:t>HG Distribution Celebrates 20 Years of Passion, People and Looking Ahead</w:t>
      </w:r>
      <w:r>
        <w:rPr>
          <w:rFonts w:ascii="Carlito" w:hAnsi="Carlito" w:cs="Carlito"/>
          <w:b/>
          <w:bCs/>
          <w:color w:val="003F72"/>
          <w:kern w:val="0"/>
          <w:sz w:val="20"/>
          <w:szCs w:val="20"/>
          <w:lang w:val="en-US"/>
        </w:rPr>
        <w:br/>
      </w:r>
      <w:r>
        <w:rPr>
          <w:rFonts w:ascii="Carlito" w:hAnsi="Carlito" w:cs="Carlito"/>
          <w:b/>
          <w:bCs/>
          <w:color w:val="003F72"/>
          <w:kern w:val="0"/>
          <w:sz w:val="30"/>
          <w:szCs w:val="30"/>
          <w:lang w:val="en-US"/>
        </w:rPr>
        <w:br/>
      </w:r>
      <w:r>
        <w:rPr>
          <w:rFonts w:ascii="Carlito" w:hAnsi="Carlito" w:cs="Carlito"/>
          <w:i/>
          <w:iCs/>
          <w:kern w:val="0"/>
          <w:sz w:val="21"/>
          <w:szCs w:val="21"/>
          <w:lang w:val="en-US"/>
        </w:rPr>
        <w:t>Founder Henry Gagnon reflects on two decades of entrepreneurship, international growth and the people behind the company, while looking ahead to the next 20 years.</w:t>
      </w:r>
      <w:r>
        <w:rPr>
          <w:rFonts w:ascii="Carlito" w:hAnsi="Carlito" w:cs="Carlito"/>
          <w:i/>
          <w:iCs/>
          <w:kern w:val="0"/>
          <w:sz w:val="21"/>
          <w:szCs w:val="21"/>
          <w:lang w:val="en-US"/>
        </w:rPr>
        <w:br/>
      </w:r>
      <w:r>
        <w:rPr>
          <w:rFonts w:ascii="Carlito" w:hAnsi="Carlito" w:cs="Carlito"/>
          <w:i/>
          <w:iCs/>
          <w:kern w:val="0"/>
          <w:sz w:val="21"/>
          <w:szCs w:val="21"/>
          <w:lang w:val="en-US"/>
        </w:rPr>
        <w:br/>
      </w:r>
      <w:r>
        <w:rPr>
          <w:rFonts w:ascii="Carlito" w:hAnsi="Carlito" w:cs="Carlito"/>
          <w:b/>
          <w:bCs/>
          <w:kern w:val="0"/>
          <w:sz w:val="21"/>
          <w:szCs w:val="21"/>
          <w:lang w:val="en-US"/>
        </w:rPr>
        <w:t>Montreal, October 1st</w:t>
      </w:r>
      <w:r>
        <w:rPr>
          <w:rFonts w:ascii="Carlito" w:hAnsi="Carlito" w:cs="Carlito"/>
          <w:kern w:val="0"/>
          <w:sz w:val="21"/>
          <w:szCs w:val="21"/>
          <w:lang w:val="en-US"/>
        </w:rPr>
        <w:t xml:space="preserve"> - Twenty years after founding HG Distribution, Henry Gagnon is celebrating more than a milestone: the people, partnerships and calculated risks that turned an entrepreneurial idea into an established Canadian content distribution company with international reach. HG Distribution will celebrate this anniversary with its entire team and partners at MIPCOM 2026 in </w:t>
      </w:r>
      <w:r w:rsidR="00DC3361">
        <w:rPr>
          <w:rFonts w:ascii="Carlito" w:hAnsi="Carlito" w:cs="Carlito"/>
          <w:kern w:val="0"/>
          <w:sz w:val="21"/>
          <w:szCs w:val="21"/>
          <w:lang w:val="en-US"/>
        </w:rPr>
        <w:t>Cannes and</w:t>
      </w:r>
      <w:r>
        <w:rPr>
          <w:rFonts w:ascii="Carlito" w:hAnsi="Carlito" w:cs="Carlito"/>
          <w:kern w:val="0"/>
          <w:sz w:val="21"/>
          <w:szCs w:val="21"/>
          <w:lang w:val="en-US"/>
        </w:rPr>
        <w:t xml:space="preserve"> invites everyone to come and celebrate</w:t>
      </w:r>
      <w:r w:rsidR="00DC3361" w:rsidRPr="00DC3361">
        <w:rPr>
          <w:rFonts w:ascii="Carlito" w:hAnsi="Carlito" w:cs="Carlito"/>
          <w:kern w:val="0"/>
          <w:sz w:val="21"/>
          <w:szCs w:val="21"/>
          <w:lang w:val="en-US"/>
        </w:rPr>
        <w:t xml:space="preserve"> </w:t>
      </w:r>
      <w:r w:rsidR="00DC3361" w:rsidRPr="00DC3361">
        <w:rPr>
          <w:rFonts w:ascii="Carlito" w:hAnsi="Carlito" w:cs="Carlito"/>
          <w:kern w:val="0"/>
          <w:sz w:val="21"/>
          <w:szCs w:val="21"/>
          <w:lang w:val="en-CA"/>
        </w:rPr>
        <w:t>with them at Canada Pavilion Stand R8.E1.</w:t>
      </w:r>
    </w:p>
    <w:p w14:paraId="7B056B34" w14:textId="328A03DB" w:rsidR="004B0EAB" w:rsidRPr="004B0EAB" w:rsidRDefault="004B0EAB" w:rsidP="004B0EAB">
      <w:pPr>
        <w:autoSpaceDE w:val="0"/>
        <w:autoSpaceDN w:val="0"/>
        <w:adjustRightInd w:val="0"/>
        <w:spacing w:after="240" w:line="240" w:lineRule="auto"/>
        <w:jc w:val="both"/>
        <w:rPr>
          <w:rFonts w:ascii="Carlito" w:hAnsi="Carlito" w:cs="Carlito"/>
          <w:kern w:val="0"/>
          <w:sz w:val="21"/>
          <w:szCs w:val="21"/>
          <w:lang w:val="en-US"/>
        </w:rPr>
      </w:pPr>
      <w:r>
        <w:rPr>
          <w:rFonts w:ascii="Carlito" w:hAnsi="Carlito" w:cs="Carlito"/>
          <w:b/>
          <w:bCs/>
          <w:kern w:val="0"/>
          <w:sz w:val="21"/>
          <w:szCs w:val="21"/>
          <w:lang w:val="en-US"/>
        </w:rPr>
        <w:t>“Twenty years is not a destination. To me, it is proof that we have been able to evolve,” says Henry Gagnon, Founder of HG Distribution. “The market today is almost unrecognizable compared with the one we entered 20 years ago. Our role has never been to resist that change. It is to understand it, embrace it and turn it into opportunity.”</w:t>
      </w:r>
    </w:p>
    <w:p w14:paraId="1C4CB9D2" w14:textId="752AD2A2" w:rsidR="004B0EAB" w:rsidRPr="004B0EAB" w:rsidRDefault="004B0EAB" w:rsidP="004B0EAB">
      <w:pPr>
        <w:autoSpaceDE w:val="0"/>
        <w:autoSpaceDN w:val="0"/>
        <w:adjustRightInd w:val="0"/>
        <w:spacing w:after="298" w:line="240" w:lineRule="auto"/>
        <w:rPr>
          <w:rFonts w:ascii="Carlito" w:hAnsi="Carlito" w:cs="Carlito"/>
          <w:b/>
          <w:bCs/>
          <w:kern w:val="0"/>
          <w:sz w:val="23"/>
          <w:szCs w:val="23"/>
          <w:lang w:val="en-US"/>
        </w:rPr>
      </w:pPr>
      <w:r>
        <w:rPr>
          <w:rFonts w:ascii="Carlito" w:hAnsi="Carlito" w:cs="Carlito"/>
          <w:b/>
          <w:bCs/>
          <w:kern w:val="0"/>
          <w:sz w:val="23"/>
          <w:szCs w:val="23"/>
          <w:lang w:val="en-US"/>
        </w:rPr>
        <w:t>20 Years of Passion</w:t>
      </w:r>
      <w:r>
        <w:rPr>
          <w:rFonts w:ascii="Carlito" w:hAnsi="Carlito" w:cs="Carlito"/>
          <w:b/>
          <w:bCs/>
          <w:kern w:val="0"/>
          <w:sz w:val="23"/>
          <w:szCs w:val="23"/>
          <w:lang w:val="en-US"/>
        </w:rPr>
        <w:br/>
      </w:r>
      <w:r>
        <w:rPr>
          <w:rFonts w:ascii="Carlito" w:hAnsi="Carlito" w:cs="Carlito"/>
          <w:kern w:val="0"/>
          <w:sz w:val="21"/>
          <w:szCs w:val="21"/>
          <w:lang w:val="en-US"/>
        </w:rPr>
        <w:t>Since its creation, HG Distribution has built its business on a simple philosophy: strong content matters, but strong relationships matter just as much. Over two decades, the company has developed an international network of producers, broadcasters, platforms and partners while keeping the agility and personal approach of an independent company. Its growth rests on a distinctive identity, international expansion, long-term partnerships and digital tools.</w:t>
      </w:r>
    </w:p>
    <w:p w14:paraId="46816B1B" w14:textId="77777777" w:rsidR="004B0EAB" w:rsidRPr="004B0EAB" w:rsidRDefault="004B0EAB" w:rsidP="004B0EAB">
      <w:pPr>
        <w:autoSpaceDE w:val="0"/>
        <w:autoSpaceDN w:val="0"/>
        <w:adjustRightInd w:val="0"/>
        <w:spacing w:after="240" w:line="240" w:lineRule="auto"/>
        <w:jc w:val="both"/>
        <w:rPr>
          <w:rFonts w:ascii="Carlito" w:hAnsi="Carlito" w:cs="Carlito"/>
          <w:kern w:val="0"/>
          <w:sz w:val="21"/>
          <w:szCs w:val="21"/>
          <w:lang w:val="en-US"/>
        </w:rPr>
      </w:pPr>
      <w:r>
        <w:rPr>
          <w:rFonts w:ascii="Carlito" w:hAnsi="Carlito" w:cs="Carlito"/>
          <w:b/>
          <w:bCs/>
          <w:kern w:val="0"/>
          <w:sz w:val="21"/>
          <w:szCs w:val="21"/>
          <w:lang w:val="en-US"/>
        </w:rPr>
        <w:t>“You cannot build a 20-year business by standing still,” he says. “Sometimes you have to trust your instincts, listen to your partners and be willing to take a calculated risk. But you also have to remain humble enough to change direction when the market tells you something has changed.”</w:t>
      </w:r>
    </w:p>
    <w:p w14:paraId="24D0F571" w14:textId="388FD368" w:rsidR="004B0EAB" w:rsidRPr="004B0EAB" w:rsidRDefault="004B0EAB" w:rsidP="004B0EAB">
      <w:pPr>
        <w:autoSpaceDE w:val="0"/>
        <w:autoSpaceDN w:val="0"/>
        <w:adjustRightInd w:val="0"/>
        <w:spacing w:after="298" w:line="240" w:lineRule="auto"/>
        <w:rPr>
          <w:rFonts w:ascii="Carlito" w:hAnsi="Carlito" w:cs="Carlito"/>
          <w:kern w:val="0"/>
          <w:sz w:val="21"/>
          <w:szCs w:val="21"/>
          <w:lang w:val="en-US"/>
        </w:rPr>
      </w:pPr>
      <w:r>
        <w:rPr>
          <w:rFonts w:ascii="Carlito" w:hAnsi="Carlito" w:cs="Carlito"/>
          <w:b/>
          <w:bCs/>
          <w:kern w:val="0"/>
          <w:sz w:val="23"/>
          <w:szCs w:val="23"/>
          <w:lang w:val="en-US"/>
        </w:rPr>
        <w:t>Looking Ahead: The Next 20 Years</w:t>
      </w:r>
      <w:r>
        <w:rPr>
          <w:rFonts w:ascii="Carlito" w:hAnsi="Carlito" w:cs="Carlito"/>
          <w:b/>
          <w:bCs/>
          <w:kern w:val="0"/>
          <w:sz w:val="21"/>
          <w:szCs w:val="21"/>
          <w:lang w:val="en-US"/>
        </w:rPr>
        <w:br/>
      </w:r>
      <w:r>
        <w:rPr>
          <w:rFonts w:ascii="Carlito" w:hAnsi="Carlito" w:cs="Carlito"/>
          <w:kern w:val="0"/>
          <w:sz w:val="21"/>
          <w:szCs w:val="21"/>
          <w:lang w:val="en-US"/>
        </w:rPr>
        <w:t>Henry Gagnon believes the industry may now be entering one of its most significant periods of transformation yet. New distribution models, changing consumer behavior, the continued globalization of content and the rapid development of artificial intelligence are creating both disruption and opportunity.</w:t>
      </w:r>
    </w:p>
    <w:p w14:paraId="781D1F47" w14:textId="48DA4102" w:rsidR="004B0EAB" w:rsidRPr="004B0EAB" w:rsidRDefault="004B0EAB" w:rsidP="004B0EAB">
      <w:pPr>
        <w:autoSpaceDE w:val="0"/>
        <w:autoSpaceDN w:val="0"/>
        <w:adjustRightInd w:val="0"/>
        <w:spacing w:after="240" w:line="240" w:lineRule="auto"/>
        <w:jc w:val="both"/>
        <w:rPr>
          <w:rFonts w:ascii="Carlito" w:hAnsi="Carlito" w:cs="Carlito"/>
          <w:kern w:val="0"/>
          <w:sz w:val="21"/>
          <w:szCs w:val="21"/>
          <w:lang w:val="en-US"/>
        </w:rPr>
      </w:pPr>
      <w:r>
        <w:rPr>
          <w:rFonts w:ascii="Carlito" w:hAnsi="Carlito" w:cs="Carlito"/>
          <w:kern w:val="0"/>
          <w:sz w:val="21"/>
          <w:szCs w:val="21"/>
          <w:lang w:val="en-US"/>
        </w:rPr>
        <w:t>HG Distribution will meet those changes with the same curiosity and entrepreneurial mindset, continuing to strengthen its international network and explore new distribution opportunities and technologies. For Henry Gagnon, AI is part of that future: not a replacement for the relationships and creativity on which the industry is built, but another major shift to approach strategically.</w:t>
      </w:r>
    </w:p>
    <w:p w14:paraId="631AC935" w14:textId="34891306" w:rsidR="004B0EAB" w:rsidRPr="004B0EAB" w:rsidRDefault="004B0EAB" w:rsidP="004B0EAB">
      <w:pPr>
        <w:autoSpaceDE w:val="0"/>
        <w:autoSpaceDN w:val="0"/>
        <w:adjustRightInd w:val="0"/>
        <w:spacing w:after="240" w:line="240" w:lineRule="auto"/>
        <w:jc w:val="both"/>
        <w:rPr>
          <w:rFonts w:ascii="Carlito" w:hAnsi="Carlito" w:cs="Carlito"/>
          <w:kern w:val="0"/>
          <w:sz w:val="21"/>
          <w:szCs w:val="21"/>
          <w:lang w:val="en-US"/>
        </w:rPr>
      </w:pPr>
      <w:r>
        <w:rPr>
          <w:rFonts w:ascii="Carlito" w:hAnsi="Carlito" w:cs="Carlito"/>
          <w:b/>
          <w:bCs/>
          <w:kern w:val="0"/>
          <w:sz w:val="21"/>
          <w:szCs w:val="21"/>
          <w:lang w:val="en-US"/>
        </w:rPr>
        <w:t>“We are entering a period that could be every bit as transformative as anything we experienced during our first 20 years,” says Henry Gagnon. “We want to be part of that transformation, not watching it happen from the sidelines.”</w:t>
      </w:r>
    </w:p>
    <w:p w14:paraId="163521C9" w14:textId="23592C70" w:rsidR="004B0EAB" w:rsidRPr="004B0EAB" w:rsidRDefault="004B0EAB" w:rsidP="004B0EAB">
      <w:pPr>
        <w:keepNext/>
        <w:autoSpaceDE w:val="0"/>
        <w:autoSpaceDN w:val="0"/>
        <w:adjustRightInd w:val="0"/>
        <w:spacing w:after="298" w:line="240" w:lineRule="auto"/>
        <w:rPr>
          <w:rFonts w:ascii="Carlito" w:hAnsi="Carlito" w:cs="Carlito"/>
          <w:kern w:val="0"/>
          <w:sz w:val="21"/>
          <w:szCs w:val="21"/>
          <w:lang w:val="en-US"/>
        </w:rPr>
      </w:pPr>
      <w:r>
        <w:rPr>
          <w:rFonts w:ascii="Carlito" w:hAnsi="Carlito" w:cs="Carlito"/>
          <w:b/>
          <w:bCs/>
          <w:kern w:val="0"/>
          <w:sz w:val="23"/>
          <w:szCs w:val="23"/>
          <w:lang w:val="en-US"/>
        </w:rPr>
        <w:lastRenderedPageBreak/>
        <w:t>Still Curious After 20 Years</w:t>
      </w:r>
    </w:p>
    <w:p w14:paraId="1EDC7691" w14:textId="62611DFD" w:rsidR="004B0EAB" w:rsidRPr="004B0EAB" w:rsidRDefault="004B0EAB" w:rsidP="004B0EAB">
      <w:pPr>
        <w:autoSpaceDE w:val="0"/>
        <w:autoSpaceDN w:val="0"/>
        <w:adjustRightInd w:val="0"/>
        <w:spacing w:after="240" w:line="240" w:lineRule="auto"/>
        <w:jc w:val="both"/>
        <w:rPr>
          <w:rFonts w:ascii="Carlito" w:hAnsi="Carlito" w:cs="Carlito"/>
          <w:kern w:val="0"/>
          <w:sz w:val="21"/>
          <w:szCs w:val="21"/>
          <w:lang w:val="en-US"/>
        </w:rPr>
      </w:pPr>
      <w:r>
        <w:rPr>
          <w:rFonts w:ascii="Carlito" w:hAnsi="Carlito" w:cs="Carlito"/>
          <w:b/>
          <w:bCs/>
          <w:kern w:val="0"/>
          <w:sz w:val="21"/>
          <w:szCs w:val="21"/>
          <w:lang w:val="en-US"/>
        </w:rPr>
        <w:t>“Our biggest strength after 20 years may simply be that we have never stopped being curious,” Henry Gagnon concludes. “What worked 20 years ago will not necessarily work tomorrow, and that is exactly what makes the next 20 years so exciting.”</w:t>
      </w:r>
    </w:p>
    <w:p w14:paraId="75D781D9" w14:textId="30957EFB" w:rsidR="004B0EAB" w:rsidRPr="004B0EAB" w:rsidRDefault="004B0EAB" w:rsidP="004B0EAB">
      <w:pPr>
        <w:autoSpaceDE w:val="0"/>
        <w:autoSpaceDN w:val="0"/>
        <w:adjustRightInd w:val="0"/>
        <w:spacing w:after="298" w:line="240" w:lineRule="auto"/>
        <w:rPr>
          <w:rFonts w:ascii="Carlito" w:hAnsi="Carlito" w:cs="Carlito"/>
          <w:kern w:val="0"/>
          <w:sz w:val="21"/>
          <w:szCs w:val="21"/>
          <w:lang w:val="en-US"/>
        </w:rPr>
      </w:pPr>
      <w:r>
        <w:rPr>
          <w:rFonts w:ascii="Carlito" w:hAnsi="Carlito" w:cs="Carlito"/>
          <w:b/>
          <w:bCs/>
          <w:kern w:val="0"/>
          <w:sz w:val="21"/>
          <w:szCs w:val="21"/>
          <w:lang w:val="en-US"/>
        </w:rPr>
        <w:br/>
      </w:r>
      <w:r>
        <w:rPr>
          <w:rFonts w:ascii="Carlito" w:hAnsi="Carlito" w:cs="Carlito"/>
          <w:b/>
          <w:bCs/>
          <w:kern w:val="0"/>
          <w:sz w:val="23"/>
          <w:szCs w:val="23"/>
          <w:lang w:val="en-US"/>
        </w:rPr>
        <w:t>About HG Distribution</w:t>
      </w:r>
      <w:r>
        <w:rPr>
          <w:rFonts w:ascii="Carlito" w:hAnsi="Carlito" w:cs="Carlito"/>
          <w:b/>
          <w:bCs/>
          <w:kern w:val="0"/>
          <w:sz w:val="21"/>
          <w:szCs w:val="21"/>
          <w:lang w:val="en-US"/>
        </w:rPr>
        <w:br/>
      </w:r>
      <w:r>
        <w:rPr>
          <w:rFonts w:ascii="Carlito" w:hAnsi="Carlito" w:cs="Carlito"/>
          <w:kern w:val="0"/>
          <w:sz w:val="21"/>
          <w:szCs w:val="21"/>
          <w:lang w:val="en-US"/>
        </w:rPr>
        <w:t xml:space="preserve">Founded in </w:t>
      </w:r>
      <w:r>
        <w:rPr>
          <w:rFonts w:ascii="Carlito" w:hAnsi="Carlito" w:cs="Carlito"/>
          <w:b/>
          <w:bCs/>
          <w:kern w:val="0"/>
          <w:sz w:val="21"/>
          <w:szCs w:val="21"/>
          <w:lang w:val="en-US"/>
        </w:rPr>
        <w:t>2006</w:t>
      </w:r>
      <w:r>
        <w:rPr>
          <w:rFonts w:ascii="Carlito" w:hAnsi="Carlito" w:cs="Carlito"/>
          <w:kern w:val="0"/>
          <w:sz w:val="21"/>
          <w:szCs w:val="21"/>
          <w:lang w:val="en-US"/>
        </w:rPr>
        <w:t xml:space="preserve"> by Henry Gagnon, </w:t>
      </w:r>
      <w:r>
        <w:rPr>
          <w:rFonts w:ascii="Carlito" w:hAnsi="Carlito" w:cs="Carlito"/>
          <w:b/>
          <w:bCs/>
          <w:kern w:val="0"/>
          <w:sz w:val="21"/>
          <w:szCs w:val="21"/>
          <w:lang w:val="en-US"/>
        </w:rPr>
        <w:t>HG Distribution</w:t>
      </w:r>
      <w:r>
        <w:rPr>
          <w:rFonts w:ascii="Carlito" w:hAnsi="Carlito" w:cs="Carlito"/>
          <w:kern w:val="0"/>
          <w:sz w:val="21"/>
          <w:szCs w:val="21"/>
          <w:lang w:val="en-US"/>
        </w:rPr>
        <w:t xml:space="preserve"> is a Canadian content distribution company serving an international network of partners across the global media and entertainment industry, known for its entrepreneurial approach and strong industry relationships.</w:t>
      </w:r>
    </w:p>
    <w:p w14:paraId="177F965E" w14:textId="77777777" w:rsidR="004B0EAB" w:rsidRDefault="004B0EAB" w:rsidP="004B0EAB">
      <w:pPr>
        <w:autoSpaceDE w:val="0"/>
        <w:autoSpaceDN w:val="0"/>
        <w:adjustRightInd w:val="0"/>
        <w:spacing w:after="240" w:line="240" w:lineRule="auto"/>
        <w:jc w:val="center"/>
        <w:rPr>
          <w:rFonts w:ascii="Calibri" w:hAnsi="Calibri" w:cs="Calibri"/>
          <w:b/>
          <w:bCs/>
          <w:kern w:val="0"/>
          <w:lang w:val="en-US"/>
        </w:rPr>
      </w:pPr>
      <w:r>
        <w:rPr>
          <w:rFonts w:ascii="Calibri" w:hAnsi="Calibri" w:cs="Calibri"/>
          <w:b/>
          <w:bCs/>
          <w:kern w:val="0"/>
          <w:lang w:val="en-US"/>
        </w:rPr>
        <w:t>– 30 –</w:t>
      </w:r>
    </w:p>
    <w:p w14:paraId="3561D5E3" w14:textId="26E6CF6E" w:rsidR="004B0EAB" w:rsidRPr="004B0EAB" w:rsidRDefault="004B0EAB" w:rsidP="004B0EAB">
      <w:pPr>
        <w:autoSpaceDE w:val="0"/>
        <w:autoSpaceDN w:val="0"/>
        <w:adjustRightInd w:val="0"/>
        <w:spacing w:after="240" w:line="240" w:lineRule="auto"/>
        <w:rPr>
          <w:rFonts w:ascii="Calibri" w:hAnsi="Calibri" w:cs="Calibri"/>
          <w:b/>
          <w:bCs/>
          <w:color w:val="003F72"/>
          <w:kern w:val="0"/>
          <w:lang w:val="en-US"/>
        </w:rPr>
      </w:pPr>
      <w:r>
        <w:rPr>
          <w:rFonts w:ascii="Carlito" w:hAnsi="Carlito" w:cs="Carlito"/>
          <w:b/>
          <w:bCs/>
          <w:noProof/>
          <w:color w:val="003F72"/>
          <w:sz w:val="21"/>
          <w:szCs w:val="21"/>
        </w:rPr>
        <mc:AlternateContent>
          <mc:Choice Requires="wps">
            <w:drawing>
              <wp:anchor distT="0" distB="0" distL="114300" distR="114300" simplePos="0" relativeHeight="251661312" behindDoc="0" locked="0" layoutInCell="1" allowOverlap="1" wp14:anchorId="75C2492E" wp14:editId="7FB06475">
                <wp:simplePos x="0" y="0"/>
                <wp:positionH relativeFrom="margin">
                  <wp:align>left</wp:align>
                </wp:positionH>
                <wp:positionV relativeFrom="paragraph">
                  <wp:posOffset>235585</wp:posOffset>
                </wp:positionV>
                <wp:extent cx="7063740" cy="7620"/>
                <wp:effectExtent l="0" t="0" r="22860" b="30480"/>
                <wp:wrapNone/>
                <wp:docPr id="73190651" name="Connecteur droit 2"/>
                <wp:cNvGraphicFramePr/>
                <a:graphic xmlns:a="http://schemas.openxmlformats.org/drawingml/2006/main">
                  <a:graphicData uri="http://schemas.microsoft.com/office/word/2010/wordprocessingShape">
                    <wps:wsp>
                      <wps:cNvCnPr/>
                      <wps:spPr>
                        <a:xfrm flipV="1">
                          <a:off x="0" y="0"/>
                          <a:ext cx="7063740" cy="7620"/>
                        </a:xfrm>
                        <a:prstGeom prst="line">
                          <a:avLst/>
                        </a:prstGeom>
                        <a:ln w="12700">
                          <a:solidFill>
                            <a:srgbClr val="003F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92D18B" id="Connecteur droit 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18.55pt" to="556.2pt,19.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6E0hzzwEAAOwDAAAOAAAAZHJzL2Uyb0RvYy54bWysU8tu2zAQvBfoPxC815KVwioEyzkkcC5F G7RN7jS1tAjwBZK15L/vkpKVR9FDg1wIcXdndme42l6PWpET+CCtael6VVIChttOmmNLH37tP32h JERmOqasgZaeIdDr3ccP28E1UNneqg48QRITmsG1tI/RNUUReA+ahZV1YDAprNcs4tUfi86zAdm1 Kqqy3BSD9Z3zlkMIGL2dknSX+YUAHr8LESAS1VKcLebT5/OQzmK3Zc3RM9dLPo/B3jCFZtJg04Xq lkVGfnv5F5WW3NtgRVxxqwsrhOSQNaCadflKzc+eOcha0JzgFpvC+9Hyb6cbc+/RhsGFJrh7n1SM wmsilHSP+KZZF05KxmzbebENxkg4Butyc1V/Rnc55upNlV0tJpbE5nyId2A1SR8tVdIkUaxhp68h YmcsvZSksDJkwLZVXZa5LFglu71UKiWDPx5ulCcnlh60vNrXVXpDpHhWhjdlMPgkKX/Fs4KpwQ8Q RHY4+iQubxsstIxzMHE98yqD1QkmcIQFOI+W1vRfwLk+QSFv4v+AF0TubE1cwFoa6ydjXnaP42Vk MdVfHJh0JwsOtjvnx87W4Epl5+b1Tzv7/J7hTz/p7g8AAAD//wMAUEsDBBQABgAIAAAAIQDVBcGD 4AAAAAcBAAAPAAAAZHJzL2Rvd25yZXYueG1sTI9Lb8IwEITvlfofrEXqrTiBlkeIg1AfqkDtAQpS jyZekqjxOoo3kP77mlN73JnRzLfpsre1OGPrK0cK4mEEAil3pqJCwf7z9X4GwrMmo2tHqOAHPSyz 25tUJ8ZdaIvnHRcilJBPtIKSuUmk9HmJVvuha5CCd3Kt1RzOtpCm1ZdQbms5iqKJtLqisFDqBp9K zL93nVXw+Hz64pVdN/P9e7c5FDx/O7x8KHU36FcLEIw9/4Xhih/QIQtMR9eR8aJWEB5hBeNpDOLq xvHoAcQxKLMxyCyV//mzXwAAAP//AwBQSwECLQAUAAYACAAAACEAtoM4kv4AAADhAQAAEwAAAAAA AAAAAAAAAAAAAAAAW0NvbnRlbnRfVHlwZXNdLnhtbFBLAQItABQABgAIAAAAIQA4/SH/1gAAAJQB AAALAAAAAAAAAAAAAAAAAC8BAABfcmVscy8ucmVsc1BLAQItABQABgAIAAAAIQC6E0hzzwEAAOwD AAAOAAAAAAAAAAAAAAAAAC4CAABkcnMvZTJvRG9jLnhtbFBLAQItABQABgAIAAAAIQDVBcGD4AAA AAcBAAAPAAAAAAAAAAAAAAAAACkEAABkcnMvZG93bnJldi54bWxQSwUGAAAAAAQABADzAAAANgUA AAAA " strokecolor="#003f72" strokeweight="1pt">
                <v:stroke joinstyle="miter"/>
                <w10:wrap anchorx="margin"/>
              </v:line>
            </w:pict>
          </mc:Fallback>
        </mc:AlternateContent>
      </w:r>
      <w:r>
        <w:rPr>
          <w:rFonts w:ascii="Calibri" w:hAnsi="Calibri" w:cs="Calibri"/>
          <w:b/>
          <w:bCs/>
          <w:color w:val="003F72"/>
          <w:kern w:val="0"/>
          <w:lang w:val="en-US"/>
        </w:rPr>
        <w:t>Media contact</w:t>
      </w:r>
    </w:p>
    <w:p w14:paraId="1E76FC7C" w14:textId="258C5516" w:rsidR="004B0EAB" w:rsidRPr="004B0EAB" w:rsidRDefault="004B0EAB" w:rsidP="004B0EAB">
      <w:pPr>
        <w:autoSpaceDE w:val="0"/>
        <w:autoSpaceDN w:val="0"/>
        <w:adjustRightInd w:val="0"/>
        <w:spacing w:after="240" w:line="240" w:lineRule="auto"/>
        <w:rPr>
          <w:rFonts w:ascii="Calibri" w:hAnsi="Calibri" w:cs="Calibri"/>
          <w:kern w:val="0"/>
          <w:lang w:val="en-CA"/>
        </w:rPr>
      </w:pPr>
      <w:r>
        <w:rPr>
          <w:rFonts w:ascii="Calibri" w:hAnsi="Calibri" w:cs="Calibri"/>
          <w:b/>
          <w:bCs/>
          <w:kern w:val="0"/>
          <w:lang w:val="en-CA"/>
        </w:rPr>
        <w:t xml:space="preserve">Sylvie Adamovicz </w:t>
      </w:r>
      <w:r>
        <w:rPr>
          <w:rFonts w:ascii="Calibri" w:hAnsi="Calibri" w:cs="Calibri"/>
          <w:kern w:val="0"/>
          <w:lang w:val="en-CA"/>
        </w:rPr>
        <w:t>– Head of Marketing</w:t>
      </w:r>
      <w:r>
        <w:rPr>
          <w:rFonts w:ascii="Calibri" w:hAnsi="Calibri" w:cs="Calibri"/>
          <w:kern w:val="0"/>
          <w:lang w:val="en-CA"/>
        </w:rPr>
        <w:br/>
        <w:t xml:space="preserve">Email : </w:t>
      </w:r>
      <w:hyperlink r:id="rId5" w:history="1">
        <w:r>
          <w:rPr>
            <w:rStyle w:val="Hyperlien"/>
            <w:rFonts w:ascii="Calibri" w:hAnsi="Calibri" w:cs="Calibri"/>
            <w:kern w:val="0"/>
            <w:lang w:val="en-CA"/>
          </w:rPr>
          <w:t>sylvie@hgagnondistribution.com</w:t>
        </w:r>
      </w:hyperlink>
      <w:r>
        <w:rPr>
          <w:rFonts w:ascii="Calibri" w:hAnsi="Calibri" w:cs="Calibri"/>
          <w:kern w:val="0"/>
          <w:lang w:val="en-CA"/>
        </w:rPr>
        <w:t xml:space="preserve"> </w:t>
      </w:r>
      <w:r>
        <w:rPr>
          <w:rFonts w:ascii="Calibri" w:hAnsi="Calibri" w:cs="Calibri"/>
          <w:kern w:val="0"/>
          <w:lang w:val="en-CA"/>
        </w:rPr>
        <w:br/>
        <w:t>Phone: +1 (514) 531-5525</w:t>
      </w:r>
      <w:r>
        <w:rPr>
          <w:rFonts w:ascii="Calibri" w:hAnsi="Calibri" w:cs="Calibri"/>
          <w:kern w:val="0"/>
          <w:lang w:val="en-CA"/>
        </w:rPr>
        <w:br/>
      </w:r>
      <w:r>
        <w:rPr>
          <w:rFonts w:ascii="Calibri" w:hAnsi="Calibri" w:cs="Calibri"/>
          <w:kern w:val="0"/>
          <w:lang w:val="en-US"/>
        </w:rPr>
        <w:t>Website: hgagnondistribution.com</w:t>
      </w:r>
      <w:r>
        <w:rPr>
          <w:rFonts w:ascii="Calibri" w:hAnsi="Calibri" w:cs="Calibri"/>
          <w:kern w:val="0"/>
          <w:lang w:val="en-CA"/>
        </w:rPr>
        <w:br/>
      </w:r>
      <w:r>
        <w:rPr>
          <w:rFonts w:ascii="Calibri" w:hAnsi="Calibri" w:cs="Calibri"/>
          <w:kern w:val="0"/>
          <w:lang w:val="en-US"/>
        </w:rPr>
        <w:t>LinkedIn: linkedin.com/company/hg-distribution_inc</w:t>
      </w:r>
    </w:p>
    <w:p w14:paraId="51C715BC" w14:textId="77777777" w:rsidR="004B0EAB" w:rsidRPr="00182072" w:rsidRDefault="004B0EAB" w:rsidP="00182072">
      <w:pPr>
        <w:autoSpaceDE w:val="0"/>
        <w:autoSpaceDN w:val="0"/>
        <w:adjustRightInd w:val="0"/>
        <w:spacing w:after="321" w:line="240" w:lineRule="auto"/>
        <w:rPr>
          <w:rFonts w:ascii="Carlito" w:hAnsi="Carlito" w:cs="Carlito"/>
          <w:kern w:val="0"/>
          <w:sz w:val="21"/>
          <w:szCs w:val="21"/>
          <w:lang w:val="en-US"/>
        </w:rPr>
      </w:pPr>
    </w:p>
    <w:p w14:paraId="702DC38F" w14:textId="77777777" w:rsidR="00182072" w:rsidRPr="00182072" w:rsidRDefault="00182072" w:rsidP="00182072">
      <w:pPr>
        <w:autoSpaceDE w:val="0"/>
        <w:autoSpaceDN w:val="0"/>
        <w:adjustRightInd w:val="0"/>
        <w:spacing w:after="321" w:line="240" w:lineRule="auto"/>
        <w:rPr>
          <w:rFonts w:ascii="Carlito" w:hAnsi="Carlito" w:cs="Carlito"/>
          <w:b/>
          <w:bCs/>
          <w:color w:val="003F72"/>
          <w:kern w:val="0"/>
          <w:sz w:val="21"/>
          <w:szCs w:val="21"/>
          <w:lang w:val="en-US"/>
        </w:rPr>
      </w:pPr>
    </w:p>
    <w:p w14:paraId="28569A1D" w14:textId="77777777" w:rsidR="00182072" w:rsidRPr="00182072" w:rsidRDefault="00182072" w:rsidP="00182072">
      <w:pPr>
        <w:spacing w:after="0"/>
        <w:rPr>
          <w:rFonts w:ascii="Carlito" w:hAnsi="Carlito" w:cs="Carlito"/>
          <w:b/>
          <w:bCs/>
          <w:sz w:val="30"/>
          <w:szCs w:val="30"/>
          <w:lang w:val="en-US"/>
        </w:rPr>
      </w:pPr>
    </w:p>
    <w:sectPr w:rsidR="00182072" w:rsidRPr="00182072" w:rsidSect="00182072">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rlito">
    <w:panose1 w:val="020F0502020204030204"/>
    <w:charset w:val="00"/>
    <w:family w:val="swiss"/>
    <w:pitch w:val="variable"/>
    <w:sig w:usb0="E10002FF" w:usb1="5000E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86"/>
    <w:rsid w:val="00182072"/>
    <w:rsid w:val="0026306A"/>
    <w:rsid w:val="004552C1"/>
    <w:rsid w:val="004B0EAB"/>
    <w:rsid w:val="004B3F86"/>
    <w:rsid w:val="008831B5"/>
    <w:rsid w:val="0090060B"/>
    <w:rsid w:val="00A84047"/>
    <w:rsid w:val="00AE0EDF"/>
    <w:rsid w:val="00B80367"/>
    <w:rsid w:val="00B87F71"/>
    <w:rsid w:val="00D457B5"/>
    <w:rsid w:val="00DC336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1FE9D"/>
  <w15:chartTrackingRefBased/>
  <w15:docId w15:val="{651384EC-8388-45D4-A773-F39535C8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B3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B3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B3F8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B3F8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B3F8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B3F8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3F8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3F8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3F8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3F8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B3F8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B3F8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B3F8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B3F8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B3F8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3F8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3F8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3F86"/>
    <w:rPr>
      <w:rFonts w:eastAsiaTheme="majorEastAsia" w:cstheme="majorBidi"/>
      <w:color w:val="272727" w:themeColor="text1" w:themeTint="D8"/>
    </w:rPr>
  </w:style>
  <w:style w:type="paragraph" w:styleId="Titre">
    <w:name w:val="Title"/>
    <w:basedOn w:val="Normal"/>
    <w:next w:val="Normal"/>
    <w:link w:val="TitreCar"/>
    <w:uiPriority w:val="10"/>
    <w:qFormat/>
    <w:rsid w:val="004B3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3F8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3F8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3F8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3F86"/>
    <w:pPr>
      <w:spacing w:before="160"/>
      <w:jc w:val="center"/>
    </w:pPr>
    <w:rPr>
      <w:i/>
      <w:iCs/>
      <w:color w:val="404040" w:themeColor="text1" w:themeTint="BF"/>
    </w:rPr>
  </w:style>
  <w:style w:type="character" w:customStyle="1" w:styleId="CitationCar">
    <w:name w:val="Citation Car"/>
    <w:basedOn w:val="Policepardfaut"/>
    <w:link w:val="Citation"/>
    <w:uiPriority w:val="29"/>
    <w:rsid w:val="004B3F86"/>
    <w:rPr>
      <w:i/>
      <w:iCs/>
      <w:color w:val="404040" w:themeColor="text1" w:themeTint="BF"/>
    </w:rPr>
  </w:style>
  <w:style w:type="paragraph" w:styleId="Paragraphedeliste">
    <w:name w:val="List Paragraph"/>
    <w:basedOn w:val="Normal"/>
    <w:uiPriority w:val="34"/>
    <w:qFormat/>
    <w:rsid w:val="004B3F86"/>
    <w:pPr>
      <w:ind w:left="720"/>
      <w:contextualSpacing/>
    </w:pPr>
  </w:style>
  <w:style w:type="character" w:styleId="Accentuationintense">
    <w:name w:val="Intense Emphasis"/>
    <w:basedOn w:val="Policepardfaut"/>
    <w:uiPriority w:val="21"/>
    <w:qFormat/>
    <w:rsid w:val="004B3F86"/>
    <w:rPr>
      <w:i/>
      <w:iCs/>
      <w:color w:val="0F4761" w:themeColor="accent1" w:themeShade="BF"/>
    </w:rPr>
  </w:style>
  <w:style w:type="paragraph" w:styleId="Citationintense">
    <w:name w:val="Intense Quote"/>
    <w:basedOn w:val="Normal"/>
    <w:next w:val="Normal"/>
    <w:link w:val="CitationintenseCar"/>
    <w:uiPriority w:val="30"/>
    <w:qFormat/>
    <w:rsid w:val="004B3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B3F86"/>
    <w:rPr>
      <w:i/>
      <w:iCs/>
      <w:color w:val="0F4761" w:themeColor="accent1" w:themeShade="BF"/>
    </w:rPr>
  </w:style>
  <w:style w:type="character" w:styleId="Rfrenceintense">
    <w:name w:val="Intense Reference"/>
    <w:basedOn w:val="Policepardfaut"/>
    <w:uiPriority w:val="32"/>
    <w:qFormat/>
    <w:rsid w:val="004B3F86"/>
    <w:rPr>
      <w:b/>
      <w:bCs/>
      <w:smallCaps/>
      <w:color w:val="0F4761" w:themeColor="accent1" w:themeShade="BF"/>
      <w:spacing w:val="5"/>
    </w:rPr>
  </w:style>
  <w:style w:type="character" w:styleId="Hyperlien">
    <w:name w:val="Hyperlink"/>
    <w:basedOn w:val="Policepardfaut"/>
    <w:uiPriority w:val="99"/>
    <w:unhideWhenUsed/>
    <w:rsid w:val="004B0EAB"/>
    <w:rPr>
      <w:color w:val="467886" w:themeColor="hyperlink"/>
      <w:u w:val="single"/>
    </w:rPr>
  </w:style>
  <w:style w:type="character" w:styleId="Mentionnonrsolue">
    <w:name w:val="Unresolved Mention"/>
    <w:basedOn w:val="Policepardfaut"/>
    <w:uiPriority w:val="99"/>
    <w:semiHidden/>
    <w:unhideWhenUsed/>
    <w:rsid w:val="004B0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ylvie@hgagnondistribution.com" TargetMode="Externa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561</Words>
  <Characters>3091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Andréane Le May</dc:creator>
  <cp:keywords/>
  <dc:description/>
  <cp:lastModifiedBy>Andréane Le May</cp:lastModifiedBy>
  <cp:revision>4</cp:revision>
  <dcterms:created xsi:type="dcterms:W3CDTF">2026-09-22T17:50:00Z</dcterms:created>
  <dcterms:modified xsi:type="dcterms:W3CDTF">2026-09-24T18:37:00Z</dcterms:modified>
</cp:coreProperties>
</file>